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7E2253" w14:textId="77777777" w:rsidR="003B7578" w:rsidRDefault="003B7578" w:rsidP="00DA34DB">
      <w:pPr>
        <w:pStyle w:val="NormalWeb"/>
        <w:spacing w:before="0" w:beforeAutospacing="0" w:after="320" w:afterAutospacing="0"/>
      </w:pPr>
      <w:r>
        <w:rPr>
          <w:rFonts w:ascii="Arial" w:hAnsi="Arial" w:cs="Arial"/>
          <w:b/>
          <w:bCs/>
          <w:color w:val="A20000"/>
          <w:sz w:val="44"/>
          <w:szCs w:val="44"/>
        </w:rPr>
        <w:t>“Los aceleradores de partículas contribuyen al bienestar social”</w:t>
      </w:r>
    </w:p>
    <w:p w14:paraId="00F7875F" w14:textId="77777777" w:rsidR="003B7578" w:rsidRDefault="003B7578" w:rsidP="003B7578">
      <w:pPr>
        <w:pStyle w:val="NormalWeb"/>
        <w:numPr>
          <w:ilvl w:val="0"/>
          <w:numId w:val="6"/>
        </w:numPr>
        <w:spacing w:before="0" w:beforeAutospacing="0" w:after="420" w:afterAutospacing="0"/>
        <w:ind w:left="360" w:right="567"/>
        <w:textAlignment w:val="baseline"/>
        <w:rPr>
          <w:rFonts w:ascii="Arial" w:hAnsi="Arial" w:cs="Arial"/>
          <w:b/>
          <w:bCs/>
          <w:color w:val="404040"/>
          <w:sz w:val="26"/>
          <w:szCs w:val="26"/>
        </w:rPr>
      </w:pPr>
      <w:r>
        <w:rPr>
          <w:rFonts w:ascii="Arial" w:hAnsi="Arial" w:cs="Arial"/>
          <w:b/>
          <w:bCs/>
          <w:color w:val="404040"/>
          <w:sz w:val="26"/>
          <w:szCs w:val="26"/>
        </w:rPr>
        <w:t xml:space="preserve">Nuria Fuster y Daniel </w:t>
      </w:r>
      <w:proofErr w:type="spellStart"/>
      <w:r>
        <w:rPr>
          <w:rFonts w:ascii="Arial" w:hAnsi="Arial" w:cs="Arial"/>
          <w:b/>
          <w:bCs/>
          <w:color w:val="404040"/>
          <w:sz w:val="26"/>
          <w:szCs w:val="26"/>
        </w:rPr>
        <w:t>Esperante</w:t>
      </w:r>
      <w:proofErr w:type="spellEnd"/>
      <w:r>
        <w:rPr>
          <w:rFonts w:ascii="Arial" w:hAnsi="Arial" w:cs="Arial"/>
          <w:b/>
          <w:bCs/>
          <w:color w:val="404040"/>
          <w:sz w:val="26"/>
          <w:szCs w:val="26"/>
        </w:rPr>
        <w:t xml:space="preserve"> explican la historia, el funcionamiento y las aplicaciones de los aceleradores de partículas en un nuevo título de la serie ¿Qué sabemos de? </w:t>
      </w:r>
    </w:p>
    <w:p w14:paraId="596F6B16" w14:textId="686F3C93" w:rsidR="00DA34DB" w:rsidRPr="00DA34DB" w:rsidRDefault="003B7578" w:rsidP="00DA34DB">
      <w:pPr>
        <w:pStyle w:val="NormalWeb"/>
        <w:numPr>
          <w:ilvl w:val="0"/>
          <w:numId w:val="6"/>
        </w:numPr>
        <w:spacing w:before="0" w:beforeAutospacing="0" w:after="420" w:afterAutospacing="0"/>
        <w:ind w:left="360" w:right="567"/>
        <w:textAlignment w:val="baseline"/>
        <w:rPr>
          <w:rFonts w:ascii="Arial" w:hAnsi="Arial" w:cs="Arial"/>
          <w:b/>
          <w:bCs/>
          <w:color w:val="404040"/>
          <w:sz w:val="26"/>
          <w:szCs w:val="26"/>
        </w:rPr>
      </w:pPr>
      <w:r>
        <w:rPr>
          <w:rFonts w:ascii="Arial" w:hAnsi="Arial" w:cs="Arial"/>
          <w:b/>
          <w:bCs/>
          <w:color w:val="404040"/>
          <w:sz w:val="26"/>
          <w:szCs w:val="26"/>
        </w:rPr>
        <w:t>Publicado por el CSIC y Catarata, el libro destaca el impacto de estas potentes herramientas en la ciencia básica, la</w:t>
      </w:r>
      <w:r w:rsidR="00FA5DCB">
        <w:rPr>
          <w:rFonts w:ascii="Arial" w:hAnsi="Arial" w:cs="Arial"/>
          <w:b/>
          <w:bCs/>
          <w:color w:val="404040"/>
          <w:sz w:val="26"/>
          <w:szCs w:val="26"/>
        </w:rPr>
        <w:t xml:space="preserve"> </w:t>
      </w:r>
      <w:bookmarkStart w:id="0" w:name="_GoBack"/>
      <w:bookmarkEnd w:id="0"/>
      <w:r>
        <w:rPr>
          <w:rFonts w:ascii="Arial" w:hAnsi="Arial" w:cs="Arial"/>
          <w:b/>
          <w:bCs/>
          <w:color w:val="404040"/>
          <w:sz w:val="26"/>
          <w:szCs w:val="26"/>
        </w:rPr>
        <w:t>medicina, la industria o el medio ambiente</w:t>
      </w:r>
    </w:p>
    <w:p w14:paraId="1B31506D" w14:textId="2DD07423" w:rsidR="00DA34DB" w:rsidRDefault="00DA34DB" w:rsidP="00DA34DB">
      <w:pPr>
        <w:pStyle w:val="NormalWeb"/>
        <w:spacing w:before="0" w:beforeAutospacing="0" w:after="80" w:afterAutospacing="0"/>
        <w:jc w:val="both"/>
        <w:rPr>
          <w:rFonts w:ascii="Calibri" w:hAnsi="Calibri" w:cs="Calibri"/>
          <w:color w:val="000000"/>
          <w:sz w:val="21"/>
          <w:szCs w:val="21"/>
        </w:rPr>
      </w:pPr>
      <w:r>
        <w:rPr>
          <w:noProof/>
        </w:rPr>
        <w:drawing>
          <wp:inline distT="0" distB="0" distL="0" distR="0" wp14:anchorId="31042062" wp14:editId="3B1207A5">
            <wp:extent cx="5400040" cy="2628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7728" b="9243"/>
                    <a:stretch/>
                  </pic:blipFill>
                  <pic:spPr bwMode="auto">
                    <a:xfrm>
                      <a:off x="0" y="0"/>
                      <a:ext cx="5400040" cy="2628900"/>
                    </a:xfrm>
                    <a:prstGeom prst="rect">
                      <a:avLst/>
                    </a:prstGeom>
                    <a:ln>
                      <a:noFill/>
                    </a:ln>
                    <a:extLst>
                      <a:ext uri="{53640926-AAD7-44D8-BBD7-CCE9431645EC}">
                        <a14:shadowObscured xmlns:a14="http://schemas.microsoft.com/office/drawing/2010/main"/>
                      </a:ext>
                    </a:extLst>
                  </pic:spPr>
                </pic:pic>
              </a:graphicData>
            </a:graphic>
          </wp:inline>
        </w:drawing>
      </w:r>
    </w:p>
    <w:p w14:paraId="2FC6D313" w14:textId="56371BC6" w:rsidR="003B7578" w:rsidRDefault="003B7578" w:rsidP="003B7578">
      <w:pPr>
        <w:pStyle w:val="NormalWeb"/>
        <w:spacing w:before="80" w:beforeAutospacing="0" w:after="140" w:afterAutospacing="0"/>
        <w:jc w:val="both"/>
      </w:pPr>
      <w:r>
        <w:rPr>
          <w:rFonts w:ascii="Calibri" w:hAnsi="Calibri" w:cs="Calibri"/>
          <w:color w:val="000000"/>
          <w:sz w:val="21"/>
          <w:szCs w:val="21"/>
        </w:rPr>
        <w:t>Más del 97% de los aceleradores existentes tienen uso comercial, y, de estos, en torno a la mitad se utilizan en medicina. / CERN</w:t>
      </w:r>
    </w:p>
    <w:p w14:paraId="799C3D9A"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Los escáneres de rayos X, los tratamientos de radioterapia para curar el cáncer y los microchips de nuestros móviles tienen un vínculo en común: los aceleradores de partículas. Estos dispositivos capaces de generar, acelerar y confinar haces de partículas con carga eléctrica han sido clave para conocer la estructura de la materia y, gracias a su desarrollo y a sus múltiples aplicaciones, se han convertido en herramientas indispensables en la sociedad actual. Casi un siglo después de su surgimiento, el CSIC publica </w:t>
      </w:r>
      <w:hyperlink r:id="rId9" w:history="1">
        <w:r>
          <w:rPr>
            <w:rStyle w:val="Hipervnculo"/>
            <w:rFonts w:ascii="Calibri" w:hAnsi="Calibri" w:cs="Calibri"/>
            <w:b/>
            <w:bCs/>
            <w:i/>
            <w:iCs/>
          </w:rPr>
          <w:t>‘Aceleradores de partículas. Del laboratorio a la sociedad’</w:t>
        </w:r>
      </w:hyperlink>
      <w:r>
        <w:rPr>
          <w:rFonts w:ascii="Calibri" w:hAnsi="Calibri" w:cs="Calibri"/>
          <w:color w:val="000000"/>
        </w:rPr>
        <w:t>, el nuevo volumen de la colección ¿Qué sabemos de? (CSIC-Catarata).</w:t>
      </w:r>
    </w:p>
    <w:p w14:paraId="79F44041" w14:textId="77777777" w:rsidR="003B7578" w:rsidRDefault="003B7578" w:rsidP="003B7578">
      <w:pPr>
        <w:pStyle w:val="NormalWeb"/>
        <w:spacing w:before="0" w:beforeAutospacing="0" w:after="140" w:afterAutospacing="0"/>
        <w:jc w:val="both"/>
      </w:pPr>
      <w:r>
        <w:rPr>
          <w:rFonts w:ascii="Calibri" w:hAnsi="Calibri" w:cs="Calibri"/>
          <w:color w:val="000000"/>
        </w:rPr>
        <w:lastRenderedPageBreak/>
        <w:t xml:space="preserve">Los investigadores del Instituto de Física Corpuscular (IFIC-CSIC-UV) </w:t>
      </w:r>
      <w:r>
        <w:rPr>
          <w:rFonts w:ascii="Calibri" w:hAnsi="Calibri" w:cs="Calibri"/>
          <w:b/>
          <w:bCs/>
          <w:color w:val="000000"/>
        </w:rPr>
        <w:t xml:space="preserve">Nuria Fuster </w:t>
      </w:r>
      <w:r>
        <w:rPr>
          <w:rFonts w:ascii="Calibri" w:hAnsi="Calibri" w:cs="Calibri"/>
          <w:color w:val="000000"/>
        </w:rPr>
        <w:t xml:space="preserve">y </w:t>
      </w:r>
      <w:r>
        <w:rPr>
          <w:rFonts w:ascii="Calibri" w:hAnsi="Calibri" w:cs="Calibri"/>
          <w:b/>
          <w:bCs/>
          <w:color w:val="000000"/>
        </w:rPr>
        <w:t xml:space="preserve">Daniel </w:t>
      </w:r>
      <w:proofErr w:type="spellStart"/>
      <w:r>
        <w:rPr>
          <w:rFonts w:ascii="Calibri" w:hAnsi="Calibri" w:cs="Calibri"/>
          <w:b/>
          <w:bCs/>
          <w:color w:val="000000"/>
        </w:rPr>
        <w:t>Esperante</w:t>
      </w:r>
      <w:proofErr w:type="spellEnd"/>
      <w:r>
        <w:rPr>
          <w:rFonts w:ascii="Calibri" w:hAnsi="Calibri" w:cs="Calibri"/>
          <w:color w:val="000000"/>
        </w:rPr>
        <w:t xml:space="preserve"> proponen un recorrido por la evolución de estas potentes y complejas máquinas. En poco más de 120 páginas, los expertos en aceleradores de partículas repasan las funciones de estos aparatos, describen los conceptos científico-técnicos que subyacen en su funcionamiento y presentan varias aplicaciones en las que desempeñan un papel crucial. </w:t>
      </w:r>
    </w:p>
    <w:p w14:paraId="2A51F739" w14:textId="77777777" w:rsidR="003B7578" w:rsidRDefault="003B7578" w:rsidP="003B7578">
      <w:pPr>
        <w:pStyle w:val="NormalWeb"/>
        <w:spacing w:before="0" w:beforeAutospacing="0" w:after="140" w:afterAutospacing="0"/>
        <w:jc w:val="both"/>
      </w:pPr>
      <w:r>
        <w:rPr>
          <w:rFonts w:ascii="Calibri" w:hAnsi="Calibri" w:cs="Calibri"/>
          <w:b/>
          <w:bCs/>
          <w:color w:val="000000"/>
        </w:rPr>
        <w:t>“La historia de los aceleradores de partículas es una evidencia de curiosidad humana y perseverancia científica</w:t>
      </w:r>
      <w:r>
        <w:rPr>
          <w:rFonts w:ascii="Calibri" w:hAnsi="Calibri" w:cs="Calibri"/>
          <w:color w:val="000000"/>
        </w:rPr>
        <w:t xml:space="preserve"> porque, a través de los avances tecnológicos en la construcción de aceleradores, se ha logrado comprender mejor el universo a niveles subatómicos y responder preguntas fundamentales sobre la materia, la energía y las fuerzas fundamentales que rigen el cosmos”, destacan. “Asimismo, han influido en numerosos aspectos de la vida cotidiana, desde la atención médica avanzada hasta la tecnología de vanguardia y la seguridad alimentaria”, agregan.</w:t>
      </w:r>
      <w:r>
        <w:rPr>
          <w:rFonts w:ascii="Calibri" w:hAnsi="Calibri" w:cs="Calibri"/>
          <w:strike/>
          <w:color w:val="000000"/>
        </w:rPr>
        <w:t> </w:t>
      </w:r>
    </w:p>
    <w:p w14:paraId="2586180E" w14:textId="77777777" w:rsidR="003B7578" w:rsidRDefault="003B7578" w:rsidP="003B7578">
      <w:pPr>
        <w:pStyle w:val="NormalWeb"/>
        <w:spacing w:before="0" w:beforeAutospacing="0" w:after="140" w:afterAutospacing="0"/>
        <w:jc w:val="both"/>
      </w:pPr>
      <w:r>
        <w:rPr>
          <w:rFonts w:ascii="Calibri" w:hAnsi="Calibri" w:cs="Calibri"/>
          <w:color w:val="C00000"/>
          <w:sz w:val="32"/>
          <w:szCs w:val="32"/>
        </w:rPr>
        <w:t>Las piezas de un acelerador</w:t>
      </w:r>
    </w:p>
    <w:p w14:paraId="24559C77"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Fuster y </w:t>
      </w:r>
      <w:proofErr w:type="spellStart"/>
      <w:r>
        <w:rPr>
          <w:rFonts w:ascii="Calibri" w:hAnsi="Calibri" w:cs="Calibri"/>
          <w:color w:val="000000"/>
        </w:rPr>
        <w:t>Esperante</w:t>
      </w:r>
      <w:proofErr w:type="spellEnd"/>
      <w:r>
        <w:rPr>
          <w:rFonts w:ascii="Calibri" w:hAnsi="Calibri" w:cs="Calibri"/>
          <w:color w:val="000000"/>
        </w:rPr>
        <w:t xml:space="preserve"> nos conducen hasta el interior de un acelerador para conocer sus entresijos. “El gran secreto de los aceleradores de partículas, y lo que los hace tan interesantes, es </w:t>
      </w:r>
      <w:r>
        <w:rPr>
          <w:rFonts w:ascii="Calibri" w:hAnsi="Calibri" w:cs="Calibri"/>
          <w:b/>
          <w:bCs/>
          <w:color w:val="000000"/>
        </w:rPr>
        <w:t>su capacidad para concentrar energía en espacios diminutos de manera controlada</w:t>
      </w:r>
      <w:r>
        <w:rPr>
          <w:rFonts w:ascii="Calibri" w:hAnsi="Calibri" w:cs="Calibri"/>
          <w:color w:val="000000"/>
        </w:rPr>
        <w:t>”, destacan. </w:t>
      </w:r>
    </w:p>
    <w:p w14:paraId="036050BC"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Los expertos del IFIC explican que, para generar partículas, impulsarlas y guiarlas, se necesitan conocimientos de física y de ingeniería. </w:t>
      </w:r>
      <w:proofErr w:type="gramStart"/>
      <w:r>
        <w:rPr>
          <w:rFonts w:ascii="Calibri" w:hAnsi="Calibri" w:cs="Calibri"/>
          <w:color w:val="000000"/>
        </w:rPr>
        <w:t>A</w:t>
      </w:r>
      <w:proofErr w:type="gramEnd"/>
      <w:r>
        <w:rPr>
          <w:rFonts w:ascii="Calibri" w:hAnsi="Calibri" w:cs="Calibri"/>
          <w:color w:val="000000"/>
        </w:rPr>
        <w:t xml:space="preserve"> partir de ahí, </w:t>
      </w:r>
      <w:r>
        <w:rPr>
          <w:rFonts w:ascii="Calibri" w:hAnsi="Calibri" w:cs="Calibri"/>
          <w:b/>
          <w:bCs/>
          <w:color w:val="000000"/>
        </w:rPr>
        <w:t>todos los aceleradores de partículas</w:t>
      </w:r>
      <w:r>
        <w:rPr>
          <w:rFonts w:ascii="Calibri" w:hAnsi="Calibri" w:cs="Calibri"/>
          <w:color w:val="000000"/>
        </w:rPr>
        <w:t>, aunque varíen en forma (lineales o circulares), tamaño (desde metros hasta kilómetros de longitud) y tecnología (superconductores o no), comparten cuatro componentes principales:</w:t>
      </w:r>
      <w:r>
        <w:rPr>
          <w:rFonts w:ascii="Calibri" w:hAnsi="Calibri" w:cs="Calibri"/>
          <w:b/>
          <w:bCs/>
          <w:color w:val="000000"/>
        </w:rPr>
        <w:t xml:space="preserve"> la fuente de partículas, los tubos de vacío y los generadores de campos eléctrico y magnético</w:t>
      </w:r>
      <w:r>
        <w:rPr>
          <w:rFonts w:ascii="Calibri" w:hAnsi="Calibri" w:cs="Calibri"/>
          <w:color w:val="000000"/>
        </w:rPr>
        <w:t>. </w:t>
      </w:r>
    </w:p>
    <w:p w14:paraId="2105E50F"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En la fuente se generan chorros de partículas subatómicas cargadas llamados haces. Una vez creadas, las partículas se inyectan en tubos de vacío, “algo así como las tuberías que tenemos en casa por donde circula el agua, pero </w:t>
      </w:r>
      <w:proofErr w:type="spellStart"/>
      <w:r>
        <w:rPr>
          <w:rFonts w:ascii="Calibri" w:hAnsi="Calibri" w:cs="Calibri"/>
          <w:color w:val="000000"/>
        </w:rPr>
        <w:t>ultralimpias</w:t>
      </w:r>
      <w:proofErr w:type="spellEnd"/>
      <w:r>
        <w:rPr>
          <w:rFonts w:ascii="Calibri" w:hAnsi="Calibri" w:cs="Calibri"/>
          <w:color w:val="000000"/>
        </w:rPr>
        <w:t xml:space="preserve">, para que nuestras diminutas viajeras se desplacen sin tropezar con obstáculos en el camino”, comentan los autores. Esto se consigue creando en el interior de los tubos </w:t>
      </w:r>
      <w:r>
        <w:rPr>
          <w:rFonts w:ascii="Calibri" w:hAnsi="Calibri" w:cs="Calibri"/>
          <w:b/>
          <w:bCs/>
          <w:color w:val="000000"/>
        </w:rPr>
        <w:t>condiciones de ultra-alto vacío, que alcanzan valores cercanos a los del espacio exterior</w:t>
      </w:r>
      <w:r>
        <w:rPr>
          <w:rFonts w:ascii="Calibri" w:hAnsi="Calibri" w:cs="Calibri"/>
          <w:color w:val="000000"/>
        </w:rPr>
        <w:t>. </w:t>
      </w:r>
    </w:p>
    <w:p w14:paraId="7A314318"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Por estos tubos de vacío se transportan las partículas a través de </w:t>
      </w:r>
      <w:r>
        <w:rPr>
          <w:rFonts w:ascii="Calibri" w:hAnsi="Calibri" w:cs="Calibri"/>
          <w:b/>
          <w:bCs/>
          <w:color w:val="000000"/>
        </w:rPr>
        <w:t>campos eléctricos y campos magnéticos cuidadosamente diseñados</w:t>
      </w:r>
      <w:r>
        <w:rPr>
          <w:rFonts w:ascii="Calibri" w:hAnsi="Calibri" w:cs="Calibri"/>
          <w:color w:val="000000"/>
        </w:rPr>
        <w:t xml:space="preserve"> para guiarlas, agruparlas y darles justo las propiedades que se necesitan. </w:t>
      </w:r>
    </w:p>
    <w:p w14:paraId="4EE7D6F8"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Así, “las partículas son conducidas hasta un punto de donde se encontrarán con otras partículas, si estamos en un experimento de física de partículas, un bloque de material, </w:t>
      </w:r>
      <w:r>
        <w:rPr>
          <w:rFonts w:ascii="Calibri" w:hAnsi="Calibri" w:cs="Calibri"/>
          <w:color w:val="000000"/>
        </w:rPr>
        <w:lastRenderedPageBreak/>
        <w:t>si el experimento es de física nuclear, o un paciente para aplicarle un tratamiento de radioterapia, si estamos en un hospital”, explican. </w:t>
      </w:r>
    </w:p>
    <w:p w14:paraId="2F2ECD9F" w14:textId="77777777" w:rsidR="003B7578" w:rsidRDefault="003B7578" w:rsidP="003B7578">
      <w:pPr>
        <w:pStyle w:val="NormalWeb"/>
        <w:spacing w:before="0" w:beforeAutospacing="0" w:after="140" w:afterAutospacing="0"/>
        <w:jc w:val="both"/>
      </w:pPr>
      <w:r>
        <w:rPr>
          <w:rFonts w:ascii="Calibri" w:hAnsi="Calibri" w:cs="Calibri"/>
          <w:color w:val="C00000"/>
          <w:sz w:val="32"/>
          <w:szCs w:val="32"/>
        </w:rPr>
        <w:t xml:space="preserve">Del ciclotrón al gran </w:t>
      </w:r>
      <w:proofErr w:type="spellStart"/>
      <w:r>
        <w:rPr>
          <w:rFonts w:ascii="Calibri" w:hAnsi="Calibri" w:cs="Calibri"/>
          <w:color w:val="C00000"/>
          <w:sz w:val="32"/>
          <w:szCs w:val="32"/>
        </w:rPr>
        <w:t>colisionador</w:t>
      </w:r>
      <w:proofErr w:type="spellEnd"/>
      <w:r>
        <w:rPr>
          <w:rFonts w:ascii="Calibri" w:hAnsi="Calibri" w:cs="Calibri"/>
          <w:color w:val="C00000"/>
          <w:sz w:val="32"/>
          <w:szCs w:val="32"/>
        </w:rPr>
        <w:t xml:space="preserve"> de hadrones del CERN</w:t>
      </w:r>
    </w:p>
    <w:p w14:paraId="31932B53" w14:textId="77777777" w:rsidR="003B7578" w:rsidRDefault="003B7578" w:rsidP="003B7578">
      <w:pPr>
        <w:pStyle w:val="NormalWeb"/>
        <w:spacing w:before="0" w:beforeAutospacing="0" w:after="140" w:afterAutospacing="0"/>
        <w:jc w:val="both"/>
      </w:pPr>
      <w:r>
        <w:rPr>
          <w:rFonts w:ascii="Calibri" w:hAnsi="Calibri" w:cs="Calibri"/>
          <w:color w:val="000000"/>
        </w:rPr>
        <w:t>La historia de los aceleradores de partículas se remonta a finales del siglo XIX, cuando la comunidad científica comenzó a explorar las propiedades de los constituyentes fundamentales de la materia. </w:t>
      </w:r>
    </w:p>
    <w:p w14:paraId="75F1CB77"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Décadas más tarde, </w:t>
      </w:r>
      <w:r>
        <w:rPr>
          <w:rFonts w:ascii="Calibri" w:hAnsi="Calibri" w:cs="Calibri"/>
          <w:b/>
          <w:bCs/>
          <w:color w:val="000000"/>
        </w:rPr>
        <w:t xml:space="preserve">en 1930, el físico estadounidense </w:t>
      </w:r>
      <w:proofErr w:type="spellStart"/>
      <w:r>
        <w:rPr>
          <w:rFonts w:ascii="Calibri" w:hAnsi="Calibri" w:cs="Calibri"/>
          <w:b/>
          <w:bCs/>
          <w:color w:val="000000"/>
        </w:rPr>
        <w:t>Ernest</w:t>
      </w:r>
      <w:proofErr w:type="spellEnd"/>
      <w:r>
        <w:rPr>
          <w:rFonts w:ascii="Calibri" w:hAnsi="Calibri" w:cs="Calibri"/>
          <w:b/>
          <w:bCs/>
          <w:color w:val="000000"/>
        </w:rPr>
        <w:t xml:space="preserve"> O. Lawrence y su estudiante Milton Stanley desarrollaron el primer ciclotrón</w:t>
      </w:r>
      <w:r>
        <w:rPr>
          <w:rFonts w:ascii="Calibri" w:hAnsi="Calibri" w:cs="Calibri"/>
          <w:color w:val="000000"/>
        </w:rPr>
        <w:t xml:space="preserve">, de 10 cm de diámetro. “Este dispositivo, que actualmente se asemeja a una rueda gigante, funciona mediante la aplicación de campos magnéticos y eléctricos que permiten a las partículas cargadas recorrer una trayectoria espiral a medida que son aceleradas”, detallan los autores. Simultáneamente, se trabajaba en el concepto de </w:t>
      </w:r>
      <w:r>
        <w:rPr>
          <w:rFonts w:ascii="Calibri" w:hAnsi="Calibri" w:cs="Calibri"/>
          <w:b/>
          <w:bCs/>
          <w:color w:val="000000"/>
        </w:rPr>
        <w:t>acelerador lineal</w:t>
      </w:r>
      <w:r>
        <w:rPr>
          <w:rFonts w:ascii="Calibri" w:hAnsi="Calibri" w:cs="Calibri"/>
          <w:color w:val="000000"/>
        </w:rPr>
        <w:t xml:space="preserve">, conocido como </w:t>
      </w:r>
      <w:proofErr w:type="spellStart"/>
      <w:r>
        <w:rPr>
          <w:rFonts w:ascii="Calibri" w:hAnsi="Calibri" w:cs="Calibri"/>
          <w:color w:val="000000"/>
        </w:rPr>
        <w:t>linac</w:t>
      </w:r>
      <w:proofErr w:type="spellEnd"/>
      <w:r>
        <w:rPr>
          <w:rFonts w:ascii="Calibri" w:hAnsi="Calibri" w:cs="Calibri"/>
          <w:color w:val="000000"/>
        </w:rPr>
        <w:t>, en el que las partículas eran aceleradas a lo largo de una línea recta por medio de campos eléctricos que cambiaban de polaridad.  </w:t>
      </w:r>
    </w:p>
    <w:p w14:paraId="58179CE6"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A medida que avanzaba el siglo XX, los físicos se dieron cuenta de que para comprender las partículas subatómicas en su totalidad necesitaban aceleradores más potentes. Un gran salto se produjo en la década de 1960 con la construcción del </w:t>
      </w:r>
      <w:r>
        <w:rPr>
          <w:rFonts w:ascii="Calibri" w:hAnsi="Calibri" w:cs="Calibri"/>
          <w:b/>
          <w:bCs/>
          <w:color w:val="000000"/>
        </w:rPr>
        <w:t xml:space="preserve">Stanford Linear </w:t>
      </w:r>
      <w:proofErr w:type="spellStart"/>
      <w:r>
        <w:rPr>
          <w:rFonts w:ascii="Calibri" w:hAnsi="Calibri" w:cs="Calibri"/>
          <w:b/>
          <w:bCs/>
          <w:color w:val="000000"/>
        </w:rPr>
        <w:t>Accelerator</w:t>
      </w:r>
      <w:proofErr w:type="spellEnd"/>
      <w:r>
        <w:rPr>
          <w:rFonts w:ascii="Calibri" w:hAnsi="Calibri" w:cs="Calibri"/>
          <w:b/>
          <w:bCs/>
          <w:color w:val="000000"/>
        </w:rPr>
        <w:t xml:space="preserve"> </w:t>
      </w:r>
      <w:r>
        <w:rPr>
          <w:rFonts w:ascii="Calibri" w:hAnsi="Calibri" w:cs="Calibri"/>
          <w:color w:val="000000"/>
        </w:rPr>
        <w:t xml:space="preserve">(SLAC), y en 1983, del </w:t>
      </w:r>
      <w:proofErr w:type="spellStart"/>
      <w:r>
        <w:rPr>
          <w:rFonts w:ascii="Calibri" w:hAnsi="Calibri" w:cs="Calibri"/>
          <w:b/>
          <w:bCs/>
          <w:color w:val="000000"/>
        </w:rPr>
        <w:t>Tevatrón</w:t>
      </w:r>
      <w:proofErr w:type="spellEnd"/>
      <w:r>
        <w:rPr>
          <w:rFonts w:ascii="Calibri" w:hAnsi="Calibri" w:cs="Calibri"/>
          <w:b/>
          <w:bCs/>
          <w:color w:val="000000"/>
        </w:rPr>
        <w:t xml:space="preserve"> </w:t>
      </w:r>
      <w:r>
        <w:rPr>
          <w:rFonts w:ascii="Calibri" w:hAnsi="Calibri" w:cs="Calibri"/>
          <w:color w:val="000000"/>
        </w:rPr>
        <w:t xml:space="preserve">en el </w:t>
      </w:r>
      <w:proofErr w:type="spellStart"/>
      <w:r>
        <w:rPr>
          <w:rFonts w:ascii="Calibri" w:hAnsi="Calibri" w:cs="Calibri"/>
          <w:color w:val="000000"/>
        </w:rPr>
        <w:t>Fermilab</w:t>
      </w:r>
      <w:proofErr w:type="spellEnd"/>
      <w:r>
        <w:rPr>
          <w:rFonts w:ascii="Calibri" w:hAnsi="Calibri" w:cs="Calibri"/>
          <w:color w:val="000000"/>
        </w:rPr>
        <w:t xml:space="preserve"> (Chicago). Los científicos del CSIC recalcan que “estos </w:t>
      </w:r>
      <w:proofErr w:type="spellStart"/>
      <w:r>
        <w:rPr>
          <w:rFonts w:ascii="Calibri" w:hAnsi="Calibri" w:cs="Calibri"/>
          <w:color w:val="000000"/>
        </w:rPr>
        <w:t>colisionadores</w:t>
      </w:r>
      <w:proofErr w:type="spellEnd"/>
      <w:r>
        <w:rPr>
          <w:rFonts w:ascii="Calibri" w:hAnsi="Calibri" w:cs="Calibri"/>
          <w:color w:val="000000"/>
        </w:rPr>
        <w:t xml:space="preserve"> permitieron estudiar partículas subatómicas con energías nunca antes alcanzadas, lo que llevó a </w:t>
      </w:r>
      <w:r>
        <w:rPr>
          <w:rFonts w:ascii="Calibri" w:hAnsi="Calibri" w:cs="Calibri"/>
          <w:b/>
          <w:bCs/>
          <w:color w:val="000000"/>
        </w:rPr>
        <w:t>importantes descubrimientos</w:t>
      </w:r>
      <w:r>
        <w:rPr>
          <w:rFonts w:ascii="Calibri" w:hAnsi="Calibri" w:cs="Calibri"/>
          <w:color w:val="000000"/>
        </w:rPr>
        <w:t>, como la observación de quarks, partículas fundamentales que componen los protones y neutrones”.</w:t>
      </w:r>
    </w:p>
    <w:p w14:paraId="1CEB0962"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En el siglo XXI, </w:t>
      </w:r>
      <w:r>
        <w:rPr>
          <w:rFonts w:ascii="Calibri" w:hAnsi="Calibri" w:cs="Calibri"/>
          <w:b/>
          <w:bCs/>
          <w:color w:val="000000"/>
        </w:rPr>
        <w:t xml:space="preserve">el gran </w:t>
      </w:r>
      <w:proofErr w:type="spellStart"/>
      <w:r>
        <w:rPr>
          <w:rFonts w:ascii="Calibri" w:hAnsi="Calibri" w:cs="Calibri"/>
          <w:b/>
          <w:bCs/>
          <w:color w:val="000000"/>
        </w:rPr>
        <w:t>colisionador</w:t>
      </w:r>
      <w:proofErr w:type="spellEnd"/>
      <w:r>
        <w:rPr>
          <w:rFonts w:ascii="Calibri" w:hAnsi="Calibri" w:cs="Calibri"/>
          <w:b/>
          <w:bCs/>
          <w:color w:val="000000"/>
        </w:rPr>
        <w:t xml:space="preserve"> de electrones y positrones</w:t>
      </w:r>
      <w:r>
        <w:rPr>
          <w:rFonts w:ascii="Calibri" w:hAnsi="Calibri" w:cs="Calibri"/>
          <w:color w:val="000000"/>
        </w:rPr>
        <w:t xml:space="preserve"> (LEP) en el CERN, en Ginebra (Suiza), se convirtió en </w:t>
      </w:r>
      <w:r>
        <w:rPr>
          <w:rFonts w:ascii="Calibri" w:hAnsi="Calibri" w:cs="Calibri"/>
          <w:b/>
          <w:bCs/>
          <w:color w:val="000000"/>
        </w:rPr>
        <w:t>el acelerador de partículas más grande del mundo</w:t>
      </w:r>
      <w:r>
        <w:rPr>
          <w:rFonts w:ascii="Calibri" w:hAnsi="Calibri" w:cs="Calibri"/>
          <w:color w:val="000000"/>
        </w:rPr>
        <w:t xml:space="preserve">, con una longitud de 27 km. A este le sucedió en el mismo túnel </w:t>
      </w:r>
      <w:r>
        <w:rPr>
          <w:rFonts w:ascii="Calibri" w:hAnsi="Calibri" w:cs="Calibri"/>
          <w:b/>
          <w:bCs/>
          <w:color w:val="000000"/>
        </w:rPr>
        <w:t xml:space="preserve">el gran </w:t>
      </w:r>
      <w:proofErr w:type="spellStart"/>
      <w:r>
        <w:rPr>
          <w:rFonts w:ascii="Calibri" w:hAnsi="Calibri" w:cs="Calibri"/>
          <w:b/>
          <w:bCs/>
          <w:color w:val="000000"/>
        </w:rPr>
        <w:t>colisionador</w:t>
      </w:r>
      <w:proofErr w:type="spellEnd"/>
      <w:r>
        <w:rPr>
          <w:rFonts w:ascii="Calibri" w:hAnsi="Calibri" w:cs="Calibri"/>
          <w:b/>
          <w:bCs/>
          <w:color w:val="000000"/>
        </w:rPr>
        <w:t xml:space="preserve"> de hadrones (LHC por sus siglas en inglés)</w:t>
      </w:r>
      <w:r>
        <w:rPr>
          <w:rFonts w:ascii="Calibri" w:hAnsi="Calibri" w:cs="Calibri"/>
          <w:color w:val="000000"/>
        </w:rPr>
        <w:t xml:space="preserve">, el más potente hasta la actualidad. Los autores recuerdan que su construcción, que arrancó en 1989, fue un logro internacional, y su puesta en marcha en 2008 marcó un hito en la física de partículas, ya que “permitió </w:t>
      </w:r>
      <w:r>
        <w:rPr>
          <w:rFonts w:ascii="Calibri" w:hAnsi="Calibri" w:cs="Calibri"/>
          <w:b/>
          <w:bCs/>
          <w:color w:val="000000"/>
        </w:rPr>
        <w:t xml:space="preserve">en 2012 la confirmación del bosón de </w:t>
      </w:r>
      <w:proofErr w:type="spellStart"/>
      <w:r>
        <w:rPr>
          <w:rFonts w:ascii="Calibri" w:hAnsi="Calibri" w:cs="Calibri"/>
          <w:b/>
          <w:bCs/>
          <w:color w:val="000000"/>
        </w:rPr>
        <w:t>Higgs</w:t>
      </w:r>
      <w:proofErr w:type="spellEnd"/>
      <w:r>
        <w:rPr>
          <w:rFonts w:ascii="Calibri" w:hAnsi="Calibri" w:cs="Calibri"/>
          <w:color w:val="000000"/>
        </w:rPr>
        <w:t>, una partícula fundamental que explica cómo las partículas fundamentales adquieren masa”. </w:t>
      </w:r>
    </w:p>
    <w:p w14:paraId="7FD3C8AB"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Hoy día, las cifras de esta proeza de la tecnología siguen siendo impactantes, ya que continúan rompiendo récords de energía y rendimiento. Para muestra, solo un ejemplo: sus cuatro detectores gigantes recogen tal cantidad de datos al año que, “si los almacenamos en portátiles de 256 GB, podríamos hacer una torre de unos 1000 metros de altura, o quizás más apropiado para los días que corren, estos datos corresponden a reproducir vídeos de </w:t>
      </w:r>
      <w:proofErr w:type="spellStart"/>
      <w:r>
        <w:rPr>
          <w:rFonts w:ascii="Calibri" w:hAnsi="Calibri" w:cs="Calibri"/>
          <w:color w:val="000000"/>
        </w:rPr>
        <w:t>TikTok</w:t>
      </w:r>
      <w:proofErr w:type="spellEnd"/>
      <w:r>
        <w:rPr>
          <w:rFonts w:ascii="Calibri" w:hAnsi="Calibri" w:cs="Calibri"/>
          <w:color w:val="000000"/>
        </w:rPr>
        <w:t xml:space="preserve"> sin parar durante más de 10.000 años”, ilustran los autores.</w:t>
      </w:r>
    </w:p>
    <w:p w14:paraId="7AC640AD" w14:textId="77777777" w:rsidR="003B7578" w:rsidRDefault="003B7578" w:rsidP="003B7578">
      <w:pPr>
        <w:pStyle w:val="NormalWeb"/>
        <w:spacing w:before="0" w:beforeAutospacing="0" w:after="140" w:afterAutospacing="0"/>
        <w:jc w:val="both"/>
      </w:pPr>
      <w:r>
        <w:rPr>
          <w:rFonts w:ascii="Calibri" w:hAnsi="Calibri" w:cs="Calibri"/>
          <w:color w:val="C00000"/>
          <w:sz w:val="32"/>
          <w:szCs w:val="32"/>
        </w:rPr>
        <w:lastRenderedPageBreak/>
        <w:t>Una revolución en medicina</w:t>
      </w:r>
    </w:p>
    <w:p w14:paraId="22AC3718"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Según la Agencia Internacional de Energía Atómica (IAEA), hay más de 30.000 aceleradores en uso en todo el mundo y, de estos, </w:t>
      </w:r>
      <w:r>
        <w:rPr>
          <w:rFonts w:ascii="Calibri" w:hAnsi="Calibri" w:cs="Calibri"/>
          <w:b/>
          <w:bCs/>
          <w:color w:val="000000"/>
        </w:rPr>
        <w:t>más del 97% se utilizan con fines comerciales</w:t>
      </w:r>
      <w:r>
        <w:rPr>
          <w:rFonts w:ascii="Calibri" w:hAnsi="Calibri" w:cs="Calibri"/>
          <w:color w:val="000000"/>
        </w:rPr>
        <w:t>, entre ellos, las aplicaciones médicas, que suponen en torno al 45-50%. “</w:t>
      </w:r>
      <w:r>
        <w:rPr>
          <w:rFonts w:ascii="Calibri" w:hAnsi="Calibri" w:cs="Calibri"/>
          <w:b/>
          <w:bCs/>
          <w:color w:val="000000"/>
        </w:rPr>
        <w:t>Las técnicas terapéuticas y diagnósticas basadas en aceleradores están adquiriendo un papel crucial en la detección y tratamiento de cánceres complejos</w:t>
      </w:r>
      <w:r>
        <w:rPr>
          <w:rFonts w:ascii="Calibri" w:hAnsi="Calibri" w:cs="Calibri"/>
          <w:color w:val="000000"/>
        </w:rPr>
        <w:t>, además de contribuir significativamente al entendimiento del funcionamiento de órganos clave, como el cerebro, y de las causas subyacentes de enfermedades con un gran impacto social, como la demencia”, apuntan los investigadores.</w:t>
      </w:r>
    </w:p>
    <w:p w14:paraId="43CA4C24"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El año 1953 marcó un hito histórico: </w:t>
      </w:r>
      <w:r>
        <w:rPr>
          <w:rFonts w:ascii="Calibri" w:hAnsi="Calibri" w:cs="Calibri"/>
          <w:b/>
          <w:bCs/>
          <w:color w:val="000000"/>
        </w:rPr>
        <w:t>un paciente fue tratado por primera vez con un acelerador lineal de partículas con un haz de rayos X</w:t>
      </w:r>
      <w:r>
        <w:rPr>
          <w:rFonts w:ascii="Calibri" w:hAnsi="Calibri" w:cs="Calibri"/>
          <w:color w:val="000000"/>
        </w:rPr>
        <w:t>. Los autores recalcan que este avance representó mucho más que un logro técnico: “fue un salto hacia un futuro donde la radioterapia se volvió más precisa y menos dañina para los tejidos sanos”. </w:t>
      </w:r>
    </w:p>
    <w:p w14:paraId="42D7D24D"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Décadas más tarde, el uso de los rayos X en radioterapia ha avanzado mucho y, en la actualidad, es la técnica más común para tratar el cáncer. “En un </w:t>
      </w:r>
      <w:proofErr w:type="spellStart"/>
      <w:r>
        <w:rPr>
          <w:rFonts w:ascii="Calibri" w:hAnsi="Calibri" w:cs="Calibri"/>
          <w:color w:val="000000"/>
        </w:rPr>
        <w:t>linac</w:t>
      </w:r>
      <w:proofErr w:type="spellEnd"/>
      <w:r>
        <w:rPr>
          <w:rFonts w:ascii="Calibri" w:hAnsi="Calibri" w:cs="Calibri"/>
          <w:color w:val="000000"/>
        </w:rPr>
        <w:t xml:space="preserve"> de radioterapia </w:t>
      </w:r>
      <w:r>
        <w:rPr>
          <w:rFonts w:ascii="Calibri" w:hAnsi="Calibri" w:cs="Calibri"/>
          <w:b/>
          <w:bCs/>
          <w:color w:val="000000"/>
        </w:rPr>
        <w:t>los rayos X se ajustan y moldean para tomar la forma exacta del tumor del paciente</w:t>
      </w:r>
      <w:r>
        <w:rPr>
          <w:rFonts w:ascii="Calibri" w:hAnsi="Calibri" w:cs="Calibri"/>
          <w:color w:val="000000"/>
        </w:rPr>
        <w:t>, incluso se usan después de cirugías para eliminar restos de tejido canceroso en áreas cercanas al tumor”, explican los científicos.</w:t>
      </w:r>
    </w:p>
    <w:p w14:paraId="6CABA9EA"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Otras técnicas emplean directamente haces de partículas cargadas y aceleradas para conseguir mayor precisión que los tratamientos tradicionales. Es el caso de la </w:t>
      </w:r>
      <w:proofErr w:type="spellStart"/>
      <w:r>
        <w:rPr>
          <w:rFonts w:ascii="Calibri" w:hAnsi="Calibri" w:cs="Calibri"/>
          <w:b/>
          <w:bCs/>
          <w:color w:val="000000"/>
        </w:rPr>
        <w:t>hadronterapia</w:t>
      </w:r>
      <w:proofErr w:type="spellEnd"/>
      <w:r>
        <w:rPr>
          <w:rFonts w:ascii="Calibri" w:hAnsi="Calibri" w:cs="Calibri"/>
          <w:b/>
          <w:bCs/>
          <w:color w:val="000000"/>
        </w:rPr>
        <w:t xml:space="preserve">, </w:t>
      </w:r>
      <w:r>
        <w:rPr>
          <w:rFonts w:ascii="Calibri" w:hAnsi="Calibri" w:cs="Calibri"/>
          <w:color w:val="000000"/>
        </w:rPr>
        <w:t>que según</w:t>
      </w:r>
      <w:r>
        <w:rPr>
          <w:rFonts w:ascii="Calibri" w:hAnsi="Calibri" w:cs="Calibri"/>
          <w:b/>
          <w:bCs/>
          <w:color w:val="000000"/>
        </w:rPr>
        <w:t xml:space="preserve"> </w:t>
      </w:r>
      <w:r>
        <w:rPr>
          <w:rFonts w:ascii="Calibri" w:hAnsi="Calibri" w:cs="Calibri"/>
          <w:color w:val="000000"/>
        </w:rPr>
        <w:t xml:space="preserve">Fuster y </w:t>
      </w:r>
      <w:proofErr w:type="spellStart"/>
      <w:r>
        <w:rPr>
          <w:rFonts w:ascii="Calibri" w:hAnsi="Calibri" w:cs="Calibri"/>
          <w:color w:val="000000"/>
        </w:rPr>
        <w:t>Esperante</w:t>
      </w:r>
      <w:proofErr w:type="spellEnd"/>
      <w:r>
        <w:rPr>
          <w:rFonts w:ascii="Calibri" w:hAnsi="Calibri" w:cs="Calibri"/>
          <w:color w:val="000000"/>
        </w:rPr>
        <w:t xml:space="preserve"> </w:t>
      </w:r>
      <w:r>
        <w:rPr>
          <w:rFonts w:ascii="Calibri" w:hAnsi="Calibri" w:cs="Calibri"/>
          <w:b/>
          <w:bCs/>
          <w:color w:val="000000"/>
        </w:rPr>
        <w:t>permite atacar tumores sin dañar los tejidos delicados que lo rodean</w:t>
      </w:r>
      <w:r>
        <w:rPr>
          <w:rFonts w:ascii="Calibri" w:hAnsi="Calibri" w:cs="Calibri"/>
          <w:color w:val="000000"/>
        </w:rPr>
        <w:t>, como la médula espinal o ciertos órganos vitales.</w:t>
      </w:r>
    </w:p>
    <w:p w14:paraId="10A25CF6"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Además, los aceleradores </w:t>
      </w:r>
      <w:r>
        <w:rPr>
          <w:rFonts w:ascii="Calibri" w:hAnsi="Calibri" w:cs="Calibri"/>
          <w:b/>
          <w:bCs/>
          <w:color w:val="000000"/>
        </w:rPr>
        <w:t>también se usan para generar imágenes de los tejidos</w:t>
      </w:r>
      <w:r>
        <w:rPr>
          <w:rFonts w:ascii="Calibri" w:hAnsi="Calibri" w:cs="Calibri"/>
          <w:color w:val="000000"/>
        </w:rPr>
        <w:t>. En este caso, explican los autores, los haces “son como pinceles invisibles que trazan contornos detallados del cuerpo” mostrando tumores escondidos o daños en órganos esenciales.</w:t>
      </w:r>
    </w:p>
    <w:p w14:paraId="3FD51306" w14:textId="77777777" w:rsidR="003B7578" w:rsidRDefault="003B7578" w:rsidP="003B7578">
      <w:pPr>
        <w:pStyle w:val="NormalWeb"/>
        <w:spacing w:before="0" w:beforeAutospacing="0" w:after="140" w:afterAutospacing="0"/>
        <w:jc w:val="both"/>
      </w:pPr>
      <w:r>
        <w:rPr>
          <w:rFonts w:ascii="Calibri" w:hAnsi="Calibri" w:cs="Calibri"/>
          <w:color w:val="C00000"/>
          <w:sz w:val="32"/>
          <w:szCs w:val="32"/>
        </w:rPr>
        <w:t>Aceleradores en la industria</w:t>
      </w:r>
    </w:p>
    <w:p w14:paraId="6C4795DC"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Los haces de partículas generados por tecnología de aceleradores también ocupan un lugar fundamental en la industria. </w:t>
      </w:r>
      <w:r>
        <w:rPr>
          <w:rFonts w:ascii="Calibri" w:hAnsi="Calibri" w:cs="Calibri"/>
          <w:b/>
          <w:bCs/>
          <w:color w:val="000000"/>
        </w:rPr>
        <w:t>Su nivel de precisión y sensibilidad se combina con la ventaja de ser procedimientos generalmente no invasivos ni destructivos</w:t>
      </w:r>
      <w:r>
        <w:rPr>
          <w:rFonts w:ascii="Calibri" w:hAnsi="Calibri" w:cs="Calibri"/>
          <w:color w:val="000000"/>
        </w:rPr>
        <w:t xml:space="preserve">. Así, los aceleradores se aplican en la </w:t>
      </w:r>
      <w:r>
        <w:rPr>
          <w:rFonts w:ascii="Calibri" w:hAnsi="Calibri" w:cs="Calibri"/>
          <w:b/>
          <w:bCs/>
          <w:color w:val="000000"/>
        </w:rPr>
        <w:t>fabricación nanotecnológica</w:t>
      </w:r>
      <w:r>
        <w:rPr>
          <w:rFonts w:ascii="Calibri" w:hAnsi="Calibri" w:cs="Calibri"/>
          <w:color w:val="000000"/>
        </w:rPr>
        <w:t>, como herramienta ideal</w:t>
      </w:r>
    </w:p>
    <w:p w14:paraId="114CFA1B" w14:textId="77777777" w:rsidR="003B7578" w:rsidRDefault="003B7578" w:rsidP="003B7578">
      <w:pPr>
        <w:pStyle w:val="NormalWeb"/>
        <w:spacing w:before="0" w:beforeAutospacing="0" w:after="140" w:afterAutospacing="0"/>
        <w:jc w:val="both"/>
      </w:pPr>
      <w:proofErr w:type="gramStart"/>
      <w:r>
        <w:rPr>
          <w:rFonts w:ascii="Calibri" w:hAnsi="Calibri" w:cs="Calibri"/>
          <w:color w:val="000000"/>
        </w:rPr>
        <w:t>para</w:t>
      </w:r>
      <w:proofErr w:type="gramEnd"/>
      <w:r>
        <w:rPr>
          <w:rFonts w:ascii="Calibri" w:hAnsi="Calibri" w:cs="Calibri"/>
          <w:color w:val="000000"/>
        </w:rPr>
        <w:t xml:space="preserve"> crear </w:t>
      </w:r>
      <w:proofErr w:type="spellStart"/>
      <w:r>
        <w:rPr>
          <w:rFonts w:ascii="Calibri" w:hAnsi="Calibri" w:cs="Calibri"/>
          <w:color w:val="000000"/>
        </w:rPr>
        <w:t>nanoestructuras</w:t>
      </w:r>
      <w:proofErr w:type="spellEnd"/>
      <w:r>
        <w:rPr>
          <w:rFonts w:ascii="Calibri" w:hAnsi="Calibri" w:cs="Calibri"/>
          <w:color w:val="000000"/>
        </w:rPr>
        <w:t xml:space="preserve">. Asimismo, se utilizan </w:t>
      </w:r>
      <w:r>
        <w:rPr>
          <w:rFonts w:ascii="Calibri" w:hAnsi="Calibri" w:cs="Calibri"/>
          <w:b/>
          <w:bCs/>
          <w:color w:val="000000"/>
        </w:rPr>
        <w:t>para esterilizar en masa dispositivos médicos</w:t>
      </w:r>
      <w:r>
        <w:rPr>
          <w:rFonts w:ascii="Calibri" w:hAnsi="Calibri" w:cs="Calibri"/>
          <w:color w:val="000000"/>
        </w:rPr>
        <w:t xml:space="preserve"> como implantes o utensilios quirúrgicos, mediante haces de electrones, o </w:t>
      </w:r>
      <w:r>
        <w:rPr>
          <w:rFonts w:ascii="Calibri" w:hAnsi="Calibri" w:cs="Calibri"/>
          <w:b/>
          <w:bCs/>
          <w:color w:val="000000"/>
        </w:rPr>
        <w:t>en aduanas y aeropuertos</w:t>
      </w:r>
      <w:r>
        <w:rPr>
          <w:rFonts w:ascii="Calibri" w:hAnsi="Calibri" w:cs="Calibri"/>
          <w:color w:val="000000"/>
        </w:rPr>
        <w:t xml:space="preserve"> con el fin de escanear contenedores, camiones o maletas en busca de sustancias peligrosas o ilegales.</w:t>
      </w:r>
    </w:p>
    <w:p w14:paraId="5123A7E9" w14:textId="77777777" w:rsidR="003B7578" w:rsidRDefault="003B7578" w:rsidP="003B7578">
      <w:pPr>
        <w:pStyle w:val="NormalWeb"/>
        <w:spacing w:before="0" w:beforeAutospacing="0" w:after="140" w:afterAutospacing="0"/>
        <w:jc w:val="both"/>
      </w:pPr>
      <w:r>
        <w:rPr>
          <w:rFonts w:ascii="Calibri" w:hAnsi="Calibri" w:cs="Calibri"/>
          <w:color w:val="000000"/>
        </w:rPr>
        <w:lastRenderedPageBreak/>
        <w:t xml:space="preserve">En el ámbito medioambiental, su potencial se aprovecha </w:t>
      </w:r>
      <w:r>
        <w:rPr>
          <w:rFonts w:ascii="Calibri" w:hAnsi="Calibri" w:cs="Calibri"/>
          <w:b/>
          <w:bCs/>
          <w:color w:val="000000"/>
        </w:rPr>
        <w:t>para tratar aguas residuales y eliminar contaminantes orgánicos</w:t>
      </w:r>
      <w:r>
        <w:rPr>
          <w:rFonts w:ascii="Calibri" w:hAnsi="Calibri" w:cs="Calibri"/>
          <w:color w:val="000000"/>
        </w:rPr>
        <w:t>, de forma que se evita su vertido a ríos y mares. “En Corea del Sur se ha usado un acelerador de alta potencia en una planta de tratamiento de aguas residuales para tratar hasta 10.000 metros cúbicos diarios de aguas procedentes de la industria textil, y ha demostrado una elevada eficacia en la eliminación de impurezas orgánicas no degradables”, resaltan los autores. </w:t>
      </w:r>
    </w:p>
    <w:p w14:paraId="5FED8822" w14:textId="77777777" w:rsidR="003B7578" w:rsidRDefault="003B7578" w:rsidP="003B7578">
      <w:pPr>
        <w:pStyle w:val="NormalWeb"/>
        <w:spacing w:before="0" w:beforeAutospacing="0" w:after="140" w:afterAutospacing="0"/>
        <w:jc w:val="both"/>
      </w:pPr>
      <w:r>
        <w:rPr>
          <w:rFonts w:ascii="Calibri" w:hAnsi="Calibri" w:cs="Calibri"/>
          <w:color w:val="C00000"/>
          <w:sz w:val="32"/>
          <w:szCs w:val="32"/>
        </w:rPr>
        <w:t>Más potencia y menor tamaño</w:t>
      </w:r>
    </w:p>
    <w:p w14:paraId="368C6F2C"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La comunidad investigadora sigue trabajando </w:t>
      </w:r>
      <w:r>
        <w:rPr>
          <w:rFonts w:ascii="Calibri" w:hAnsi="Calibri" w:cs="Calibri"/>
          <w:b/>
          <w:bCs/>
          <w:color w:val="000000"/>
        </w:rPr>
        <w:t>en crear nuevos aceleradores</w:t>
      </w:r>
      <w:r>
        <w:rPr>
          <w:rFonts w:ascii="Calibri" w:hAnsi="Calibri" w:cs="Calibri"/>
          <w:color w:val="000000"/>
        </w:rPr>
        <w:t>. Por un lado, se buscan dispositivos más potentes y sensibles que ayuden a responder preguntas fundamentales, como  el porqué de la asimetría entre materia y antimateria o el enigma de la materia y la energía oscuras. Por otro, los esfuerzos se concentran en conseguir aceleradores más compactos que faciliten las aplicaciones médicas e industriales. </w:t>
      </w:r>
    </w:p>
    <w:p w14:paraId="4491B743" w14:textId="77777777" w:rsidR="003B7578" w:rsidRDefault="003B7578" w:rsidP="003B7578">
      <w:pPr>
        <w:pStyle w:val="NormalWeb"/>
        <w:spacing w:before="0" w:beforeAutospacing="0" w:after="140" w:afterAutospacing="0"/>
        <w:jc w:val="both"/>
      </w:pPr>
      <w:r>
        <w:rPr>
          <w:rFonts w:ascii="Calibri" w:hAnsi="Calibri" w:cs="Calibri"/>
          <w:color w:val="000000"/>
        </w:rPr>
        <w:t xml:space="preserve">Mirando a España, los investigadores subrayan que nuestro país ha pasado de ser un usuario en este campo a convertirse en proveedor de infraestructuras estratégicas en apenas 30 años. “Gracias al desarrollo de infraestructuras pioneras como el </w:t>
      </w:r>
      <w:proofErr w:type="spellStart"/>
      <w:r>
        <w:rPr>
          <w:rFonts w:ascii="Calibri" w:hAnsi="Calibri" w:cs="Calibri"/>
          <w:color w:val="000000"/>
        </w:rPr>
        <w:t>sincrotón</w:t>
      </w:r>
      <w:proofErr w:type="spellEnd"/>
      <w:r>
        <w:rPr>
          <w:rFonts w:ascii="Calibri" w:hAnsi="Calibri" w:cs="Calibri"/>
          <w:color w:val="000000"/>
        </w:rPr>
        <w:t xml:space="preserve"> ALBA en </w:t>
      </w:r>
      <w:proofErr w:type="spellStart"/>
      <w:r>
        <w:rPr>
          <w:rFonts w:ascii="Calibri" w:hAnsi="Calibri" w:cs="Calibri"/>
          <w:color w:val="000000"/>
        </w:rPr>
        <w:t>Cerdanyola</w:t>
      </w:r>
      <w:proofErr w:type="spellEnd"/>
      <w:r>
        <w:rPr>
          <w:rFonts w:ascii="Calibri" w:hAnsi="Calibri" w:cs="Calibri"/>
          <w:color w:val="000000"/>
        </w:rPr>
        <w:t xml:space="preserve"> del </w:t>
      </w:r>
      <w:proofErr w:type="spellStart"/>
      <w:r>
        <w:rPr>
          <w:rFonts w:ascii="Calibri" w:hAnsi="Calibri" w:cs="Calibri"/>
          <w:color w:val="000000"/>
        </w:rPr>
        <w:t>Vallès</w:t>
      </w:r>
      <w:proofErr w:type="spellEnd"/>
      <w:r>
        <w:rPr>
          <w:rFonts w:ascii="Calibri" w:hAnsi="Calibri" w:cs="Calibri"/>
          <w:color w:val="000000"/>
        </w:rPr>
        <w:t xml:space="preserve"> (Barcelona), y las futuras ALBA II y la instalación de investigación internacional IFMIF-DONES, España ganará visibilidad y se situará en la vanguardia europea de fuentes de fotones y neutrones, dos herramientas clave para la ciencia y la industria del siglo XXI”, concluyen.</w:t>
      </w:r>
    </w:p>
    <w:p w14:paraId="25305BBC" w14:textId="77777777" w:rsidR="003B7578" w:rsidRDefault="00501C03" w:rsidP="003B7578">
      <w:pPr>
        <w:pStyle w:val="NormalWeb"/>
        <w:spacing w:before="0" w:beforeAutospacing="0" w:after="140" w:afterAutospacing="0"/>
        <w:jc w:val="both"/>
      </w:pPr>
      <w:hyperlink r:id="rId10" w:history="1">
        <w:r w:rsidR="003B7578">
          <w:rPr>
            <w:rStyle w:val="Hipervnculo"/>
            <w:rFonts w:ascii="Calibri" w:hAnsi="Calibri" w:cs="Calibri"/>
            <w:b/>
            <w:bCs/>
            <w:i/>
            <w:iCs/>
          </w:rPr>
          <w:t>‘Aceleradores de partículas. Del laboratorio a la sociedad’</w:t>
        </w:r>
      </w:hyperlink>
      <w:r w:rsidR="003B7578">
        <w:rPr>
          <w:color w:val="000000"/>
        </w:rPr>
        <w:t xml:space="preserve"> </w:t>
      </w:r>
      <w:r w:rsidR="003B7578">
        <w:rPr>
          <w:rFonts w:ascii="Calibri" w:hAnsi="Calibri" w:cs="Calibri"/>
          <w:color w:val="000000"/>
        </w:rPr>
        <w:t xml:space="preserve">es el número 169 de la colección ¿Qué sabemos de? (CSIC-Catarata). Para solicitar entrevistas con los </w:t>
      </w:r>
      <w:proofErr w:type="spellStart"/>
      <w:r w:rsidR="003B7578">
        <w:rPr>
          <w:rFonts w:ascii="Calibri" w:hAnsi="Calibri" w:cs="Calibri"/>
          <w:color w:val="000000"/>
        </w:rPr>
        <w:t>autore</w:t>
      </w:r>
      <w:proofErr w:type="spellEnd"/>
      <w:r w:rsidR="003B7578">
        <w:rPr>
          <w:rFonts w:ascii="Calibri" w:hAnsi="Calibri" w:cs="Calibri"/>
          <w:color w:val="000000"/>
        </w:rPr>
        <w:t xml:space="preserve"> o más información, contactar con: </w:t>
      </w:r>
      <w:hyperlink r:id="rId11" w:history="1">
        <w:r w:rsidR="003B7578">
          <w:rPr>
            <w:rStyle w:val="Hipervnculo"/>
            <w:rFonts w:ascii="Calibri" w:hAnsi="Calibri" w:cs="Calibri"/>
          </w:rPr>
          <w:t>comunicacion@csic.es</w:t>
        </w:r>
      </w:hyperlink>
      <w:r w:rsidR="003B7578">
        <w:rPr>
          <w:rFonts w:ascii="Calibri" w:hAnsi="Calibri" w:cs="Calibri"/>
          <w:color w:val="000000"/>
        </w:rPr>
        <w:t xml:space="preserve"> (91 568 14 77).</w:t>
      </w:r>
    </w:p>
    <w:p w14:paraId="4B3BFF55" w14:textId="77777777" w:rsidR="003B7578" w:rsidRDefault="003B7578" w:rsidP="003B7578">
      <w:pPr>
        <w:pStyle w:val="NormalWeb"/>
        <w:spacing w:before="240" w:beforeAutospacing="0" w:after="120" w:afterAutospacing="0"/>
        <w:jc w:val="both"/>
      </w:pPr>
      <w:r>
        <w:rPr>
          <w:rFonts w:ascii="Calibri" w:hAnsi="Calibri" w:cs="Calibri"/>
          <w:color w:val="C00000"/>
          <w:sz w:val="32"/>
          <w:szCs w:val="32"/>
        </w:rPr>
        <w:t>Sobre los autores </w:t>
      </w:r>
    </w:p>
    <w:p w14:paraId="5DAE9E2B" w14:textId="298F6D81" w:rsidR="003B7578" w:rsidRDefault="003B7578" w:rsidP="00DA34DB">
      <w:pPr>
        <w:pStyle w:val="NormalWeb"/>
        <w:spacing w:before="0" w:beforeAutospacing="0" w:after="140" w:afterAutospacing="0"/>
        <w:jc w:val="both"/>
      </w:pPr>
      <w:r>
        <w:rPr>
          <w:rFonts w:ascii="Calibri" w:hAnsi="Calibri" w:cs="Calibri"/>
          <w:b/>
          <w:bCs/>
          <w:color w:val="000000"/>
        </w:rPr>
        <w:t xml:space="preserve">Nuria Fuster Martínez </w:t>
      </w:r>
      <w:r>
        <w:rPr>
          <w:rFonts w:ascii="Calibri" w:hAnsi="Calibri" w:cs="Calibri"/>
          <w:color w:val="000000"/>
        </w:rPr>
        <w:t xml:space="preserve">es doctora en Física por la Universidad de Valencia e investigadora CDEIGENT de la Generalitat Valenciana en el IFIC de Valencia (CSIC-UV). Ha trabajado en diferentes aceleradores internacionales, entre los que destacan el </w:t>
      </w:r>
      <w:proofErr w:type="spellStart"/>
      <w:r>
        <w:rPr>
          <w:rFonts w:ascii="Calibri" w:hAnsi="Calibri" w:cs="Calibri"/>
          <w:color w:val="000000"/>
        </w:rPr>
        <w:t>Large</w:t>
      </w:r>
      <w:proofErr w:type="spellEnd"/>
      <w:r>
        <w:rPr>
          <w:rFonts w:ascii="Calibri" w:hAnsi="Calibri" w:cs="Calibri"/>
          <w:color w:val="000000"/>
        </w:rPr>
        <w:t xml:space="preserve"> </w:t>
      </w:r>
      <w:proofErr w:type="spellStart"/>
      <w:r>
        <w:rPr>
          <w:rFonts w:ascii="Calibri" w:hAnsi="Calibri" w:cs="Calibri"/>
          <w:color w:val="000000"/>
        </w:rPr>
        <w:t>Hadron</w:t>
      </w:r>
      <w:proofErr w:type="spellEnd"/>
      <w:r>
        <w:rPr>
          <w:rFonts w:ascii="Calibri" w:hAnsi="Calibri" w:cs="Calibri"/>
          <w:color w:val="000000"/>
        </w:rPr>
        <w:t xml:space="preserve"> </w:t>
      </w:r>
      <w:proofErr w:type="spellStart"/>
      <w:r>
        <w:rPr>
          <w:rFonts w:ascii="Calibri" w:hAnsi="Calibri" w:cs="Calibri"/>
          <w:color w:val="000000"/>
        </w:rPr>
        <w:t>Collider</w:t>
      </w:r>
      <w:proofErr w:type="spellEnd"/>
      <w:r>
        <w:rPr>
          <w:rFonts w:ascii="Calibri" w:hAnsi="Calibri" w:cs="Calibri"/>
          <w:color w:val="000000"/>
        </w:rPr>
        <w:t xml:space="preserve"> (LHC) en Suiza y el </w:t>
      </w:r>
      <w:proofErr w:type="spellStart"/>
      <w:r>
        <w:rPr>
          <w:rFonts w:ascii="Calibri" w:hAnsi="Calibri" w:cs="Calibri"/>
          <w:color w:val="000000"/>
        </w:rPr>
        <w:t>Accelerator</w:t>
      </w:r>
      <w:proofErr w:type="spellEnd"/>
      <w:r>
        <w:rPr>
          <w:rFonts w:ascii="Calibri" w:hAnsi="Calibri" w:cs="Calibri"/>
          <w:color w:val="000000"/>
        </w:rPr>
        <w:t xml:space="preserve"> Test </w:t>
      </w:r>
      <w:proofErr w:type="spellStart"/>
      <w:r>
        <w:rPr>
          <w:rFonts w:ascii="Calibri" w:hAnsi="Calibri" w:cs="Calibri"/>
          <w:color w:val="000000"/>
        </w:rPr>
        <w:t>Facility</w:t>
      </w:r>
      <w:proofErr w:type="spellEnd"/>
      <w:r>
        <w:rPr>
          <w:rFonts w:ascii="Calibri" w:hAnsi="Calibri" w:cs="Calibri"/>
          <w:color w:val="000000"/>
        </w:rPr>
        <w:t xml:space="preserve"> (ATF) en Japón, así como en colaboraciones internacionales de aceleradores como CLIC/ILC y el HL-LHC.</w:t>
      </w:r>
    </w:p>
    <w:p w14:paraId="0EF6D248" w14:textId="77777777" w:rsidR="003B7578" w:rsidRDefault="003B7578" w:rsidP="003B7578">
      <w:pPr>
        <w:pStyle w:val="NormalWeb"/>
        <w:spacing w:before="0" w:beforeAutospacing="0" w:after="140" w:afterAutospacing="0"/>
        <w:jc w:val="both"/>
      </w:pPr>
      <w:r>
        <w:rPr>
          <w:rFonts w:ascii="Calibri" w:hAnsi="Calibri" w:cs="Calibri"/>
          <w:b/>
          <w:bCs/>
          <w:color w:val="000000"/>
        </w:rPr>
        <w:t xml:space="preserve">Daniel </w:t>
      </w:r>
      <w:proofErr w:type="spellStart"/>
      <w:r>
        <w:rPr>
          <w:rFonts w:ascii="Calibri" w:hAnsi="Calibri" w:cs="Calibri"/>
          <w:b/>
          <w:bCs/>
          <w:color w:val="000000"/>
        </w:rPr>
        <w:t>Esperante</w:t>
      </w:r>
      <w:proofErr w:type="spellEnd"/>
      <w:r>
        <w:rPr>
          <w:rFonts w:ascii="Calibri" w:hAnsi="Calibri" w:cs="Calibri"/>
          <w:b/>
          <w:bCs/>
          <w:color w:val="000000"/>
        </w:rPr>
        <w:t xml:space="preserve"> Pereira </w:t>
      </w:r>
      <w:r>
        <w:rPr>
          <w:rFonts w:ascii="Calibri" w:hAnsi="Calibri" w:cs="Calibri"/>
          <w:color w:val="000000"/>
        </w:rPr>
        <w:t xml:space="preserve">es ingeniero de Telecomunicaciones, doctor en Física e investigador científico del CSIC en el IFIC de Valencia (CSIC-UV). Ha trabajado durante años en el CERN en experimentos como </w:t>
      </w:r>
      <w:proofErr w:type="spellStart"/>
      <w:r>
        <w:rPr>
          <w:rFonts w:ascii="Calibri" w:hAnsi="Calibri" w:cs="Calibri"/>
          <w:color w:val="000000"/>
        </w:rPr>
        <w:t>LHCb</w:t>
      </w:r>
      <w:proofErr w:type="spellEnd"/>
      <w:r>
        <w:rPr>
          <w:rFonts w:ascii="Calibri" w:hAnsi="Calibri" w:cs="Calibri"/>
          <w:color w:val="000000"/>
        </w:rPr>
        <w:t xml:space="preserve"> y en colaboraciones internacionales de futuros </w:t>
      </w:r>
      <w:proofErr w:type="spellStart"/>
      <w:r>
        <w:rPr>
          <w:rFonts w:ascii="Calibri" w:hAnsi="Calibri" w:cs="Calibri"/>
          <w:color w:val="000000"/>
        </w:rPr>
        <w:t>colisionadores</w:t>
      </w:r>
      <w:proofErr w:type="spellEnd"/>
      <w:r>
        <w:rPr>
          <w:rFonts w:ascii="Calibri" w:hAnsi="Calibri" w:cs="Calibri"/>
          <w:color w:val="000000"/>
        </w:rPr>
        <w:t xml:space="preserve"> como CLIC e ILC.</w:t>
      </w:r>
    </w:p>
    <w:p w14:paraId="30FDB672" w14:textId="01C6253E" w:rsidR="002A04DA" w:rsidRPr="003B7578" w:rsidRDefault="003B7578" w:rsidP="00DA34DB">
      <w:pPr>
        <w:pStyle w:val="NormalWeb"/>
        <w:spacing w:before="0" w:beforeAutospacing="0" w:after="140" w:afterAutospacing="0"/>
        <w:jc w:val="right"/>
      </w:pPr>
      <w:r>
        <w:rPr>
          <w:rFonts w:ascii="Calibri" w:hAnsi="Calibri" w:cs="Calibri"/>
          <w:b/>
          <w:bCs/>
          <w:color w:val="000000"/>
        </w:rPr>
        <w:t>CSIC Cultura Científica</w:t>
      </w:r>
    </w:p>
    <w:sectPr w:rsidR="002A04DA" w:rsidRPr="003B7578" w:rsidSect="001457C1">
      <w:headerReference w:type="default" r:id="rId12"/>
      <w:footerReference w:type="default" r:id="rId13"/>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5469D8" w16cex:dateUtc="2025-08-23T14:24:00Z"/>
  <w16cex:commentExtensible w16cex:durableId="2C546A5C" w16cex:dateUtc="2025-08-23T14:27: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DB65C" w14:textId="77777777" w:rsidR="00501C03" w:rsidRDefault="00501C03" w:rsidP="00F675D9">
      <w:r>
        <w:separator/>
      </w:r>
    </w:p>
  </w:endnote>
  <w:endnote w:type="continuationSeparator" w:id="0">
    <w:p w14:paraId="140E563E" w14:textId="77777777" w:rsidR="00501C03" w:rsidRDefault="00501C03" w:rsidP="00F6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lantin Light">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Balthazar">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2C71A" w14:textId="54C78340" w:rsidR="00DC5D97" w:rsidRDefault="00DC5D97" w:rsidP="00103D2C">
    <w:pPr>
      <w:pBdr>
        <w:top w:val="single" w:sz="4" w:space="0" w:color="AF071F"/>
      </w:pBdr>
      <w:ind w:right="-568"/>
      <w:jc w:val="right"/>
      <w:rPr>
        <w:rFonts w:ascii="Arial" w:hAnsi="Arial" w:cs="Arial"/>
        <w:color w:val="A6A6A6"/>
        <w:sz w:val="18"/>
        <w:szCs w:val="18"/>
      </w:rPr>
    </w:pPr>
    <w:r>
      <w:rPr>
        <w:rFonts w:ascii="Arial" w:hAnsi="Arial" w:cs="Arial"/>
        <w:color w:val="A6A6A6"/>
        <w:sz w:val="18"/>
        <w:szCs w:val="18"/>
      </w:rPr>
      <w:t xml:space="preserve">Página </w:t>
    </w:r>
    <w:r>
      <w:rPr>
        <w:rFonts w:ascii="Arial" w:hAnsi="Arial" w:cs="Arial"/>
        <w:color w:val="A6A6A6"/>
        <w:sz w:val="18"/>
        <w:szCs w:val="18"/>
      </w:rPr>
      <w:fldChar w:fldCharType="begin"/>
    </w:r>
    <w:r>
      <w:rPr>
        <w:rFonts w:ascii="Arial" w:hAnsi="Arial" w:cs="Arial"/>
        <w:color w:val="A6A6A6"/>
        <w:sz w:val="18"/>
        <w:szCs w:val="18"/>
      </w:rPr>
      <w:instrText>PAGE</w:instrText>
    </w:r>
    <w:r>
      <w:rPr>
        <w:rFonts w:ascii="Arial" w:hAnsi="Arial" w:cs="Arial"/>
        <w:color w:val="A6A6A6"/>
        <w:sz w:val="18"/>
        <w:szCs w:val="18"/>
      </w:rPr>
      <w:fldChar w:fldCharType="separate"/>
    </w:r>
    <w:r w:rsidR="00FA5DCB">
      <w:rPr>
        <w:rFonts w:ascii="Arial" w:hAnsi="Arial" w:cs="Arial"/>
        <w:noProof/>
        <w:color w:val="A6A6A6"/>
        <w:sz w:val="18"/>
        <w:szCs w:val="18"/>
      </w:rPr>
      <w:t>5</w:t>
    </w:r>
    <w:r>
      <w:rPr>
        <w:rFonts w:ascii="Arial" w:hAnsi="Arial" w:cs="Arial"/>
        <w:color w:val="A6A6A6"/>
        <w:sz w:val="18"/>
        <w:szCs w:val="18"/>
      </w:rPr>
      <w:fldChar w:fldCharType="end"/>
    </w:r>
    <w:r>
      <w:rPr>
        <w:rFonts w:ascii="Arial" w:hAnsi="Arial" w:cs="Arial"/>
        <w:color w:val="A6A6A6"/>
        <w:sz w:val="18"/>
        <w:szCs w:val="18"/>
      </w:rPr>
      <w:t xml:space="preserve"> de </w:t>
    </w:r>
    <w:r>
      <w:rPr>
        <w:rFonts w:ascii="Arial" w:hAnsi="Arial" w:cs="Arial"/>
        <w:color w:val="A6A6A6"/>
        <w:sz w:val="18"/>
        <w:szCs w:val="18"/>
      </w:rPr>
      <w:fldChar w:fldCharType="begin"/>
    </w:r>
    <w:r>
      <w:rPr>
        <w:rFonts w:ascii="Arial" w:hAnsi="Arial" w:cs="Arial"/>
        <w:color w:val="A6A6A6"/>
        <w:sz w:val="18"/>
        <w:szCs w:val="18"/>
      </w:rPr>
      <w:instrText>NUMPAGES</w:instrText>
    </w:r>
    <w:r>
      <w:rPr>
        <w:rFonts w:ascii="Arial" w:hAnsi="Arial" w:cs="Arial"/>
        <w:color w:val="A6A6A6"/>
        <w:sz w:val="18"/>
        <w:szCs w:val="18"/>
      </w:rPr>
      <w:fldChar w:fldCharType="separate"/>
    </w:r>
    <w:r w:rsidR="00FA5DCB">
      <w:rPr>
        <w:rFonts w:ascii="Arial" w:hAnsi="Arial" w:cs="Arial"/>
        <w:noProof/>
        <w:color w:val="A6A6A6"/>
        <w:sz w:val="18"/>
        <w:szCs w:val="18"/>
      </w:rPr>
      <w:t>5</w:t>
    </w:r>
    <w:r>
      <w:rPr>
        <w:rFonts w:ascii="Arial" w:hAnsi="Arial" w:cs="Arial"/>
        <w:color w:val="A6A6A6"/>
        <w:sz w:val="18"/>
        <w:szCs w:val="18"/>
      </w:rPr>
      <w:fldChar w:fldCharType="end"/>
    </w:r>
    <w:r w:rsidR="00D536E0">
      <w:rPr>
        <w:noProof/>
      </w:rPr>
      <w:drawing>
        <wp:anchor distT="0" distB="0" distL="114300" distR="114300" simplePos="0" relativeHeight="251662336" behindDoc="0" locked="0" layoutInCell="1" allowOverlap="1" wp14:anchorId="3146C95C" wp14:editId="03A78FEA">
          <wp:simplePos x="0" y="0"/>
          <wp:positionH relativeFrom="column">
            <wp:posOffset>-409575</wp:posOffset>
          </wp:positionH>
          <wp:positionV relativeFrom="paragraph">
            <wp:posOffset>-121920</wp:posOffset>
          </wp:positionV>
          <wp:extent cx="5414645" cy="359410"/>
          <wp:effectExtent l="0" t="0" r="0" b="0"/>
          <wp:wrapNone/>
          <wp:docPr id="2" name="image2.png" descr="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4645" cy="359410"/>
                  </a:xfrm>
                  <a:prstGeom prst="rect">
                    <a:avLst/>
                  </a:prstGeom>
                  <a:noFill/>
                </pic:spPr>
              </pic:pic>
            </a:graphicData>
          </a:graphic>
          <wp14:sizeRelH relativeFrom="page">
            <wp14:pctWidth>0</wp14:pctWidth>
          </wp14:sizeRelH>
          <wp14:sizeRelV relativeFrom="page">
            <wp14:pctHeight>0</wp14:pctHeight>
          </wp14:sizeRelV>
        </wp:anchor>
      </w:drawing>
    </w:r>
  </w:p>
  <w:p w14:paraId="707CF72D" w14:textId="77777777" w:rsidR="00DC5D97" w:rsidRDefault="00DC5D97">
    <w:pPr>
      <w:pStyle w:val="Piedepgina"/>
      <w:jc w:val="center"/>
      <w:rPr>
        <w:caps/>
        <w:color w:val="4472C4"/>
      </w:rPr>
    </w:pPr>
  </w:p>
  <w:p w14:paraId="0523652C" w14:textId="77777777" w:rsidR="00DC5D97" w:rsidRDefault="00DC5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F8C58" w14:textId="77777777" w:rsidR="00501C03" w:rsidRDefault="00501C03" w:rsidP="00F675D9">
      <w:r>
        <w:separator/>
      </w:r>
    </w:p>
  </w:footnote>
  <w:footnote w:type="continuationSeparator" w:id="0">
    <w:p w14:paraId="30BEAFD1" w14:textId="77777777" w:rsidR="00501C03" w:rsidRDefault="00501C03" w:rsidP="00F67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CBD15" w14:textId="77777777" w:rsidR="00DC5D97" w:rsidRDefault="00DC5D97" w:rsidP="00816250">
    <w:pPr>
      <w:tabs>
        <w:tab w:val="left" w:pos="1275"/>
        <w:tab w:val="center" w:pos="4536"/>
        <w:tab w:val="right" w:pos="9360"/>
      </w:tabs>
      <w:ind w:left="-142" w:right="-852"/>
      <w:jc w:val="right"/>
      <w:rPr>
        <w:rFonts w:ascii="Arial" w:hAnsi="Arial" w:cs="Arial"/>
        <w:b/>
        <w:color w:val="AF071F"/>
        <w:sz w:val="36"/>
        <w:szCs w:val="36"/>
      </w:rPr>
    </w:pPr>
  </w:p>
  <w:p w14:paraId="517E98F5" w14:textId="77777777" w:rsidR="00DC5D97" w:rsidRDefault="00D536E0" w:rsidP="00816250">
    <w:pPr>
      <w:tabs>
        <w:tab w:val="left" w:pos="1275"/>
        <w:tab w:val="center" w:pos="4536"/>
        <w:tab w:val="right" w:pos="9360"/>
      </w:tabs>
      <w:ind w:left="-142" w:right="-852"/>
      <w:jc w:val="right"/>
      <w:rPr>
        <w:rFonts w:ascii="Arial" w:hAnsi="Arial" w:cs="Arial"/>
        <w:b/>
        <w:color w:val="AF071F"/>
        <w:sz w:val="36"/>
        <w:szCs w:val="36"/>
      </w:rPr>
    </w:pPr>
    <w:r>
      <w:rPr>
        <w:noProof/>
      </w:rPr>
      <w:drawing>
        <wp:anchor distT="0" distB="0" distL="0" distR="0" simplePos="0" relativeHeight="251660288" behindDoc="1" locked="0" layoutInCell="1" allowOverlap="1" wp14:anchorId="5F3CF617" wp14:editId="40B9C1A6">
          <wp:simplePos x="0" y="0"/>
          <wp:positionH relativeFrom="column">
            <wp:posOffset>-375285</wp:posOffset>
          </wp:positionH>
          <wp:positionV relativeFrom="paragraph">
            <wp:posOffset>-125730</wp:posOffset>
          </wp:positionV>
          <wp:extent cx="2390775" cy="619125"/>
          <wp:effectExtent l="0" t="0" r="0" b="0"/>
          <wp:wrapNone/>
          <wp:docPr id="1" name="image1.png" descr="logoc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logoc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619125"/>
                  </a:xfrm>
                  <a:prstGeom prst="rect">
                    <a:avLst/>
                  </a:prstGeom>
                  <a:noFill/>
                </pic:spPr>
              </pic:pic>
            </a:graphicData>
          </a:graphic>
          <wp14:sizeRelH relativeFrom="page">
            <wp14:pctWidth>0</wp14:pctWidth>
          </wp14:sizeRelH>
          <wp14:sizeRelV relativeFrom="page">
            <wp14:pctHeight>0</wp14:pctHeight>
          </wp14:sizeRelV>
        </wp:anchor>
      </w:drawing>
    </w:r>
  </w:p>
  <w:p w14:paraId="00BED00A" w14:textId="77777777" w:rsidR="00DC5D97" w:rsidRDefault="00DC5D97" w:rsidP="00816250">
    <w:pPr>
      <w:pBdr>
        <w:bottom w:val="single" w:sz="4" w:space="1" w:color="AF071F"/>
      </w:pBdr>
      <w:tabs>
        <w:tab w:val="left" w:pos="1275"/>
        <w:tab w:val="center" w:pos="4536"/>
        <w:tab w:val="right" w:pos="9214"/>
      </w:tabs>
      <w:ind w:left="-567" w:right="-710" w:firstLine="425"/>
      <w:jc w:val="right"/>
      <w:rPr>
        <w:rFonts w:ascii="Arial" w:hAnsi="Arial" w:cs="Arial"/>
        <w:b/>
        <w:color w:val="AF071F"/>
        <w:sz w:val="36"/>
        <w:szCs w:val="36"/>
      </w:rPr>
    </w:pPr>
    <w:r>
      <w:rPr>
        <w:rFonts w:ascii="Arial" w:hAnsi="Arial" w:cs="Arial"/>
        <w:b/>
        <w:color w:val="AF071F"/>
        <w:sz w:val="36"/>
        <w:szCs w:val="36"/>
      </w:rPr>
      <w:t xml:space="preserve">Nota de prensa </w:t>
    </w:r>
  </w:p>
  <w:p w14:paraId="333FCBBA" w14:textId="77777777" w:rsidR="00DC5D97" w:rsidRDefault="00DC5D97" w:rsidP="00816250">
    <w:pPr>
      <w:tabs>
        <w:tab w:val="right" w:pos="9214"/>
      </w:tabs>
      <w:spacing w:before="40"/>
      <w:ind w:right="-710" w:hanging="142"/>
      <w:jc w:val="right"/>
      <w:rPr>
        <w:rFonts w:ascii="Arial" w:hAnsi="Arial" w:cs="Arial"/>
        <w:color w:val="A6A6A6"/>
      </w:rPr>
    </w:pPr>
    <w:r>
      <w:rPr>
        <w:rFonts w:ascii="Balthazar" w:hAnsi="Balthazar" w:cs="Balthazar"/>
        <w:b/>
        <w:color w:val="AF071F"/>
        <w:sz w:val="28"/>
        <w:szCs w:val="28"/>
      </w:rPr>
      <w:t>CSIC</w:t>
    </w:r>
    <w:r>
      <w:rPr>
        <w:color w:val="7F7F7F"/>
      </w:rPr>
      <w:t xml:space="preserve"> </w:t>
    </w:r>
    <w:r>
      <w:rPr>
        <w:rFonts w:ascii="Arial" w:hAnsi="Arial" w:cs="Arial"/>
        <w:color w:val="A6A6A6"/>
      </w:rPr>
      <w:t>comunicación</w:t>
    </w:r>
  </w:p>
  <w:p w14:paraId="31776BF9" w14:textId="77777777" w:rsidR="00DC5D97" w:rsidRDefault="00DC5D97" w:rsidP="00816250">
    <w:pPr>
      <w:tabs>
        <w:tab w:val="right" w:pos="9214"/>
      </w:tabs>
      <w:spacing w:before="40"/>
      <w:ind w:left="-142" w:right="-710"/>
      <w:jc w:val="right"/>
      <w:rPr>
        <w:rFonts w:ascii="Arial" w:hAnsi="Arial" w:cs="Arial"/>
        <w:color w:val="404040"/>
        <w:sz w:val="20"/>
        <w:szCs w:val="20"/>
      </w:rPr>
    </w:pPr>
    <w:r>
      <w:rPr>
        <w:rFonts w:ascii="Arial" w:hAnsi="Arial" w:cs="Arial"/>
        <w:color w:val="404040"/>
        <w:sz w:val="20"/>
        <w:szCs w:val="20"/>
      </w:rPr>
      <w:t>Tel.: +34 91 568 14 77 / 618 40 95 65</w:t>
    </w:r>
  </w:p>
  <w:p w14:paraId="4D7606C9" w14:textId="77777777" w:rsidR="00DC5D97" w:rsidRDefault="00501C03" w:rsidP="00816250">
    <w:pPr>
      <w:tabs>
        <w:tab w:val="right" w:pos="9214"/>
      </w:tabs>
      <w:spacing w:before="40"/>
      <w:ind w:left="-142" w:right="-710"/>
      <w:jc w:val="right"/>
      <w:rPr>
        <w:rFonts w:ascii="Arial" w:hAnsi="Arial" w:cs="Arial"/>
        <w:color w:val="404040"/>
        <w:sz w:val="20"/>
        <w:szCs w:val="20"/>
      </w:rPr>
    </w:pPr>
    <w:hyperlink r:id="rId2">
      <w:r w:rsidR="00DC5D97">
        <w:rPr>
          <w:rFonts w:ascii="Arial" w:hAnsi="Arial" w:cs="Arial"/>
          <w:color w:val="404040"/>
          <w:sz w:val="20"/>
          <w:szCs w:val="20"/>
        </w:rPr>
        <w:t>comunicacion@csic.es</w:t>
      </w:r>
    </w:hyperlink>
  </w:p>
  <w:p w14:paraId="43EF2E9D" w14:textId="77777777" w:rsidR="00DC5D97" w:rsidRDefault="00501C03" w:rsidP="00816250">
    <w:pPr>
      <w:pStyle w:val="Encabezado"/>
      <w:jc w:val="right"/>
      <w:rPr>
        <w:rFonts w:ascii="Arial" w:hAnsi="Arial" w:cs="Arial"/>
        <w:color w:val="0000FF"/>
        <w:sz w:val="20"/>
        <w:szCs w:val="20"/>
        <w:u w:val="single"/>
      </w:rPr>
    </w:pPr>
    <w:hyperlink r:id="rId3">
      <w:r w:rsidR="00DC5D97">
        <w:rPr>
          <w:rFonts w:ascii="Arial" w:hAnsi="Arial" w:cs="Arial"/>
          <w:color w:val="0000FF"/>
          <w:sz w:val="20"/>
          <w:szCs w:val="20"/>
          <w:u w:val="single"/>
        </w:rPr>
        <w:t>www.csic.es</w:t>
      </w:r>
    </w:hyperlink>
  </w:p>
  <w:p w14:paraId="49DC1A3F" w14:textId="77777777" w:rsidR="00DC5D97" w:rsidRDefault="00DC5D97" w:rsidP="00816250">
    <w:pPr>
      <w:pStyle w:val="Encabezado"/>
      <w:jc w:val="right"/>
    </w:pPr>
  </w:p>
  <w:p w14:paraId="1BE7BB3B" w14:textId="77777777" w:rsidR="00DC5D97" w:rsidRDefault="00DC5D97" w:rsidP="0081625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B6B0D"/>
    <w:multiLevelType w:val="hybridMultilevel"/>
    <w:tmpl w:val="C8DE883C"/>
    <w:lvl w:ilvl="0" w:tplc="F578BC4C">
      <w:numFmt w:val="bullet"/>
      <w:lvlText w:val=""/>
      <w:lvlJc w:val="left"/>
      <w:pPr>
        <w:ind w:left="720" w:hanging="360"/>
      </w:pPr>
      <w:rPr>
        <w:rFonts w:ascii="Wingdings 2" w:eastAsia="Times New Roman" w:hAnsi="Wingdings 2" w:cs="Arial" w:hint="default"/>
        <w:color w:val="AF071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3F11119"/>
    <w:multiLevelType w:val="multilevel"/>
    <w:tmpl w:val="FFFFFFFF"/>
    <w:lvl w:ilvl="0">
      <w:numFmt w:val="bullet"/>
      <w:lvlText w:val="◼"/>
      <w:lvlJc w:val="left"/>
      <w:pPr>
        <w:ind w:left="720" w:hanging="360"/>
      </w:pPr>
      <w:rPr>
        <w:rFonts w:ascii="Noto Sans Symbols" w:eastAsia="Times New Roman" w:hAnsi="Noto Sans Symbols"/>
        <w:color w:val="AF071F"/>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 w15:restartNumberingAfterBreak="0">
    <w:nsid w:val="26EF61A0"/>
    <w:multiLevelType w:val="hybridMultilevel"/>
    <w:tmpl w:val="D8D8935C"/>
    <w:lvl w:ilvl="0" w:tplc="6958C186">
      <w:numFmt w:val="bullet"/>
      <w:lvlText w:val="-"/>
      <w:lvlJc w:val="left"/>
      <w:pPr>
        <w:ind w:left="720" w:hanging="360"/>
      </w:pPr>
      <w:rPr>
        <w:rFonts w:ascii="Arial" w:eastAsia="Times New Roman" w:hAnsi="Arial" w:cs="Arial" w:hint="default"/>
        <w:b/>
        <w:color w:val="404040"/>
        <w:sz w:val="2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9936983"/>
    <w:multiLevelType w:val="multilevel"/>
    <w:tmpl w:val="4C16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E57609"/>
    <w:multiLevelType w:val="multilevel"/>
    <w:tmpl w:val="2A86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0459BF"/>
    <w:multiLevelType w:val="hybridMultilevel"/>
    <w:tmpl w:val="1D8E1C8E"/>
    <w:lvl w:ilvl="0" w:tplc="AEE4FC9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4E"/>
    <w:rsid w:val="00001832"/>
    <w:rsid w:val="00004529"/>
    <w:rsid w:val="00004C87"/>
    <w:rsid w:val="00011A20"/>
    <w:rsid w:val="00012ECE"/>
    <w:rsid w:val="000134D9"/>
    <w:rsid w:val="00014AD6"/>
    <w:rsid w:val="000202DC"/>
    <w:rsid w:val="00021620"/>
    <w:rsid w:val="00023248"/>
    <w:rsid w:val="000236BC"/>
    <w:rsid w:val="00023C17"/>
    <w:rsid w:val="000245D5"/>
    <w:rsid w:val="00026F2F"/>
    <w:rsid w:val="00027EF3"/>
    <w:rsid w:val="00035383"/>
    <w:rsid w:val="00035EE7"/>
    <w:rsid w:val="00042146"/>
    <w:rsid w:val="000436D7"/>
    <w:rsid w:val="00046C1F"/>
    <w:rsid w:val="000543F9"/>
    <w:rsid w:val="00055993"/>
    <w:rsid w:val="00060E41"/>
    <w:rsid w:val="0006364B"/>
    <w:rsid w:val="00071C89"/>
    <w:rsid w:val="00072597"/>
    <w:rsid w:val="000767D4"/>
    <w:rsid w:val="00080071"/>
    <w:rsid w:val="000806F6"/>
    <w:rsid w:val="000832A3"/>
    <w:rsid w:val="000857CB"/>
    <w:rsid w:val="00086CAF"/>
    <w:rsid w:val="00091C5F"/>
    <w:rsid w:val="00092A4E"/>
    <w:rsid w:val="00093BF7"/>
    <w:rsid w:val="00095BF1"/>
    <w:rsid w:val="00095F48"/>
    <w:rsid w:val="0009630D"/>
    <w:rsid w:val="00096A7B"/>
    <w:rsid w:val="000A1B10"/>
    <w:rsid w:val="000A595E"/>
    <w:rsid w:val="000A6962"/>
    <w:rsid w:val="000B12D4"/>
    <w:rsid w:val="000B37A7"/>
    <w:rsid w:val="000B3CBE"/>
    <w:rsid w:val="000B4004"/>
    <w:rsid w:val="000B42EE"/>
    <w:rsid w:val="000B6969"/>
    <w:rsid w:val="000C0551"/>
    <w:rsid w:val="000C059A"/>
    <w:rsid w:val="000C35D4"/>
    <w:rsid w:val="000C3BD4"/>
    <w:rsid w:val="000C5E44"/>
    <w:rsid w:val="000C738B"/>
    <w:rsid w:val="000D2268"/>
    <w:rsid w:val="000D401E"/>
    <w:rsid w:val="000D4095"/>
    <w:rsid w:val="000D57F3"/>
    <w:rsid w:val="000D7FE2"/>
    <w:rsid w:val="000E42F0"/>
    <w:rsid w:val="000E7E35"/>
    <w:rsid w:val="000F136B"/>
    <w:rsid w:val="000F23DE"/>
    <w:rsid w:val="000F5BEE"/>
    <w:rsid w:val="000F7623"/>
    <w:rsid w:val="000F7A60"/>
    <w:rsid w:val="00100A70"/>
    <w:rsid w:val="00102914"/>
    <w:rsid w:val="0010299B"/>
    <w:rsid w:val="00103D2C"/>
    <w:rsid w:val="00104272"/>
    <w:rsid w:val="0010454D"/>
    <w:rsid w:val="00104879"/>
    <w:rsid w:val="00106C8D"/>
    <w:rsid w:val="00110499"/>
    <w:rsid w:val="00111109"/>
    <w:rsid w:val="001142B5"/>
    <w:rsid w:val="00115275"/>
    <w:rsid w:val="0011530D"/>
    <w:rsid w:val="00115418"/>
    <w:rsid w:val="00117847"/>
    <w:rsid w:val="0011799B"/>
    <w:rsid w:val="0012476F"/>
    <w:rsid w:val="0012751B"/>
    <w:rsid w:val="0013239E"/>
    <w:rsid w:val="00133807"/>
    <w:rsid w:val="00133C74"/>
    <w:rsid w:val="00136F1F"/>
    <w:rsid w:val="0014181B"/>
    <w:rsid w:val="00144082"/>
    <w:rsid w:val="001450AA"/>
    <w:rsid w:val="001457C1"/>
    <w:rsid w:val="00146BF7"/>
    <w:rsid w:val="001503A5"/>
    <w:rsid w:val="0015278F"/>
    <w:rsid w:val="001550F2"/>
    <w:rsid w:val="00155BCB"/>
    <w:rsid w:val="00160F98"/>
    <w:rsid w:val="001622CA"/>
    <w:rsid w:val="00163C34"/>
    <w:rsid w:val="001644AF"/>
    <w:rsid w:val="0016484F"/>
    <w:rsid w:val="00164C76"/>
    <w:rsid w:val="00166447"/>
    <w:rsid w:val="00175CFF"/>
    <w:rsid w:val="00176181"/>
    <w:rsid w:val="00177951"/>
    <w:rsid w:val="001818DF"/>
    <w:rsid w:val="00193195"/>
    <w:rsid w:val="00195433"/>
    <w:rsid w:val="00195F08"/>
    <w:rsid w:val="00197FC0"/>
    <w:rsid w:val="001A09F2"/>
    <w:rsid w:val="001A2E3E"/>
    <w:rsid w:val="001A3E88"/>
    <w:rsid w:val="001A5269"/>
    <w:rsid w:val="001A5BE8"/>
    <w:rsid w:val="001A6490"/>
    <w:rsid w:val="001A772C"/>
    <w:rsid w:val="001B26AD"/>
    <w:rsid w:val="001B59D6"/>
    <w:rsid w:val="001B741F"/>
    <w:rsid w:val="001C2718"/>
    <w:rsid w:val="001C31DA"/>
    <w:rsid w:val="001C389D"/>
    <w:rsid w:val="001C38A7"/>
    <w:rsid w:val="001C39D4"/>
    <w:rsid w:val="001C49D4"/>
    <w:rsid w:val="001C6BC3"/>
    <w:rsid w:val="001D00C8"/>
    <w:rsid w:val="001D295E"/>
    <w:rsid w:val="001D60C8"/>
    <w:rsid w:val="001D6B5E"/>
    <w:rsid w:val="001E1B23"/>
    <w:rsid w:val="001E3682"/>
    <w:rsid w:val="001E43EC"/>
    <w:rsid w:val="001F034C"/>
    <w:rsid w:val="001F31A4"/>
    <w:rsid w:val="001F5984"/>
    <w:rsid w:val="001F6A45"/>
    <w:rsid w:val="00201772"/>
    <w:rsid w:val="002031F5"/>
    <w:rsid w:val="0020513E"/>
    <w:rsid w:val="00207181"/>
    <w:rsid w:val="00210CA9"/>
    <w:rsid w:val="00210E36"/>
    <w:rsid w:val="00215E55"/>
    <w:rsid w:val="00220EF9"/>
    <w:rsid w:val="002241DD"/>
    <w:rsid w:val="002251F2"/>
    <w:rsid w:val="00226029"/>
    <w:rsid w:val="00234D09"/>
    <w:rsid w:val="00234EF7"/>
    <w:rsid w:val="00237F15"/>
    <w:rsid w:val="002418A2"/>
    <w:rsid w:val="00244C12"/>
    <w:rsid w:val="00250A63"/>
    <w:rsid w:val="002520CB"/>
    <w:rsid w:val="0025297D"/>
    <w:rsid w:val="00260080"/>
    <w:rsid w:val="00262058"/>
    <w:rsid w:val="002642CC"/>
    <w:rsid w:val="002643DA"/>
    <w:rsid w:val="00270EEF"/>
    <w:rsid w:val="0027456D"/>
    <w:rsid w:val="00280296"/>
    <w:rsid w:val="00282201"/>
    <w:rsid w:val="00283BED"/>
    <w:rsid w:val="00290FEC"/>
    <w:rsid w:val="00293EA0"/>
    <w:rsid w:val="00295B56"/>
    <w:rsid w:val="00296371"/>
    <w:rsid w:val="002976DD"/>
    <w:rsid w:val="002A04DA"/>
    <w:rsid w:val="002A0A36"/>
    <w:rsid w:val="002A56FA"/>
    <w:rsid w:val="002A7203"/>
    <w:rsid w:val="002B035C"/>
    <w:rsid w:val="002B16FD"/>
    <w:rsid w:val="002B249D"/>
    <w:rsid w:val="002B5923"/>
    <w:rsid w:val="002B5A7D"/>
    <w:rsid w:val="002C0473"/>
    <w:rsid w:val="002C04A3"/>
    <w:rsid w:val="002C06CF"/>
    <w:rsid w:val="002C16C4"/>
    <w:rsid w:val="002C29B2"/>
    <w:rsid w:val="002C2BA8"/>
    <w:rsid w:val="002C3D23"/>
    <w:rsid w:val="002C5233"/>
    <w:rsid w:val="002C5BF8"/>
    <w:rsid w:val="002D287B"/>
    <w:rsid w:val="002D6E71"/>
    <w:rsid w:val="002D6EEC"/>
    <w:rsid w:val="002D7181"/>
    <w:rsid w:val="002E0A07"/>
    <w:rsid w:val="002E199D"/>
    <w:rsid w:val="002E19E2"/>
    <w:rsid w:val="002E3B50"/>
    <w:rsid w:val="002E750F"/>
    <w:rsid w:val="002F2298"/>
    <w:rsid w:val="002F4121"/>
    <w:rsid w:val="002F5550"/>
    <w:rsid w:val="002F7DCB"/>
    <w:rsid w:val="0030183D"/>
    <w:rsid w:val="003025AE"/>
    <w:rsid w:val="00302C8F"/>
    <w:rsid w:val="00304A12"/>
    <w:rsid w:val="00304CC4"/>
    <w:rsid w:val="003106CE"/>
    <w:rsid w:val="00311AA9"/>
    <w:rsid w:val="00312F82"/>
    <w:rsid w:val="00313DFA"/>
    <w:rsid w:val="0031516E"/>
    <w:rsid w:val="00315C4A"/>
    <w:rsid w:val="00316343"/>
    <w:rsid w:val="00322D92"/>
    <w:rsid w:val="00326909"/>
    <w:rsid w:val="00326979"/>
    <w:rsid w:val="00327ECA"/>
    <w:rsid w:val="00327FCE"/>
    <w:rsid w:val="00331169"/>
    <w:rsid w:val="003401E2"/>
    <w:rsid w:val="00341783"/>
    <w:rsid w:val="00341D3A"/>
    <w:rsid w:val="00345773"/>
    <w:rsid w:val="00351743"/>
    <w:rsid w:val="0035608D"/>
    <w:rsid w:val="0035745C"/>
    <w:rsid w:val="003577EA"/>
    <w:rsid w:val="003603EA"/>
    <w:rsid w:val="003604C0"/>
    <w:rsid w:val="003614CE"/>
    <w:rsid w:val="0036426E"/>
    <w:rsid w:val="00364389"/>
    <w:rsid w:val="003702FF"/>
    <w:rsid w:val="003730ED"/>
    <w:rsid w:val="0037362C"/>
    <w:rsid w:val="00374514"/>
    <w:rsid w:val="00374861"/>
    <w:rsid w:val="0037552A"/>
    <w:rsid w:val="00375BA7"/>
    <w:rsid w:val="003761C0"/>
    <w:rsid w:val="00380A33"/>
    <w:rsid w:val="00380E79"/>
    <w:rsid w:val="00385020"/>
    <w:rsid w:val="00390A41"/>
    <w:rsid w:val="00392B34"/>
    <w:rsid w:val="003957B5"/>
    <w:rsid w:val="00395A07"/>
    <w:rsid w:val="00395CF0"/>
    <w:rsid w:val="00397985"/>
    <w:rsid w:val="00397B9F"/>
    <w:rsid w:val="00397C1E"/>
    <w:rsid w:val="003A2D12"/>
    <w:rsid w:val="003A3D1A"/>
    <w:rsid w:val="003A413B"/>
    <w:rsid w:val="003A7139"/>
    <w:rsid w:val="003B2183"/>
    <w:rsid w:val="003B6DAC"/>
    <w:rsid w:val="003B7243"/>
    <w:rsid w:val="003B7578"/>
    <w:rsid w:val="003B759F"/>
    <w:rsid w:val="003B7B7A"/>
    <w:rsid w:val="003C4DDE"/>
    <w:rsid w:val="003C576C"/>
    <w:rsid w:val="003C6C1B"/>
    <w:rsid w:val="003C6E84"/>
    <w:rsid w:val="003D0ED3"/>
    <w:rsid w:val="003D2CD4"/>
    <w:rsid w:val="003D378E"/>
    <w:rsid w:val="003D4EA4"/>
    <w:rsid w:val="003D58CD"/>
    <w:rsid w:val="003D5DB6"/>
    <w:rsid w:val="003D7268"/>
    <w:rsid w:val="003E30C0"/>
    <w:rsid w:val="003E3D6D"/>
    <w:rsid w:val="003F2ADC"/>
    <w:rsid w:val="003F572C"/>
    <w:rsid w:val="003F5B4B"/>
    <w:rsid w:val="003F5EE8"/>
    <w:rsid w:val="003F6BA5"/>
    <w:rsid w:val="003F6C51"/>
    <w:rsid w:val="004035C4"/>
    <w:rsid w:val="00403FA3"/>
    <w:rsid w:val="004063D2"/>
    <w:rsid w:val="00407D59"/>
    <w:rsid w:val="004156A3"/>
    <w:rsid w:val="00415C8E"/>
    <w:rsid w:val="00417739"/>
    <w:rsid w:val="00421001"/>
    <w:rsid w:val="00421317"/>
    <w:rsid w:val="00421A86"/>
    <w:rsid w:val="00425265"/>
    <w:rsid w:val="00426B8D"/>
    <w:rsid w:val="0042715E"/>
    <w:rsid w:val="0043185C"/>
    <w:rsid w:val="00434412"/>
    <w:rsid w:val="00441768"/>
    <w:rsid w:val="00444BD7"/>
    <w:rsid w:val="00446834"/>
    <w:rsid w:val="00446A90"/>
    <w:rsid w:val="004479FB"/>
    <w:rsid w:val="00447DD0"/>
    <w:rsid w:val="00452B87"/>
    <w:rsid w:val="004605A7"/>
    <w:rsid w:val="00461EA1"/>
    <w:rsid w:val="00463A18"/>
    <w:rsid w:val="00464152"/>
    <w:rsid w:val="00465E54"/>
    <w:rsid w:val="00465F4D"/>
    <w:rsid w:val="00467651"/>
    <w:rsid w:val="00467AFE"/>
    <w:rsid w:val="00467F1D"/>
    <w:rsid w:val="00470070"/>
    <w:rsid w:val="00473DE1"/>
    <w:rsid w:val="00474902"/>
    <w:rsid w:val="00477448"/>
    <w:rsid w:val="0047765D"/>
    <w:rsid w:val="00477D21"/>
    <w:rsid w:val="004804B6"/>
    <w:rsid w:val="0048053F"/>
    <w:rsid w:val="0048143F"/>
    <w:rsid w:val="00481BAA"/>
    <w:rsid w:val="004843F3"/>
    <w:rsid w:val="0048454E"/>
    <w:rsid w:val="00491926"/>
    <w:rsid w:val="00491A55"/>
    <w:rsid w:val="0049414D"/>
    <w:rsid w:val="00495F93"/>
    <w:rsid w:val="004B119F"/>
    <w:rsid w:val="004B213F"/>
    <w:rsid w:val="004B4196"/>
    <w:rsid w:val="004B4AF8"/>
    <w:rsid w:val="004B64E2"/>
    <w:rsid w:val="004C0F09"/>
    <w:rsid w:val="004C0F6E"/>
    <w:rsid w:val="004C1690"/>
    <w:rsid w:val="004C22A1"/>
    <w:rsid w:val="004C31A5"/>
    <w:rsid w:val="004C3B11"/>
    <w:rsid w:val="004C462F"/>
    <w:rsid w:val="004C4E7F"/>
    <w:rsid w:val="004C52E3"/>
    <w:rsid w:val="004C6867"/>
    <w:rsid w:val="004C6ADF"/>
    <w:rsid w:val="004D0027"/>
    <w:rsid w:val="004D03EC"/>
    <w:rsid w:val="004D0AD0"/>
    <w:rsid w:val="004D1344"/>
    <w:rsid w:val="004D25EA"/>
    <w:rsid w:val="004D3496"/>
    <w:rsid w:val="004D4706"/>
    <w:rsid w:val="004D6314"/>
    <w:rsid w:val="004E183E"/>
    <w:rsid w:val="004E1A4A"/>
    <w:rsid w:val="004E60AC"/>
    <w:rsid w:val="004E62DC"/>
    <w:rsid w:val="004E7920"/>
    <w:rsid w:val="004F37DF"/>
    <w:rsid w:val="004F4CA0"/>
    <w:rsid w:val="004F5CD5"/>
    <w:rsid w:val="004F614A"/>
    <w:rsid w:val="004F72A4"/>
    <w:rsid w:val="004F7EAE"/>
    <w:rsid w:val="00501C03"/>
    <w:rsid w:val="00501F0C"/>
    <w:rsid w:val="00504EE5"/>
    <w:rsid w:val="00506528"/>
    <w:rsid w:val="005103B7"/>
    <w:rsid w:val="0051137A"/>
    <w:rsid w:val="005159A4"/>
    <w:rsid w:val="00522D57"/>
    <w:rsid w:val="00522FD6"/>
    <w:rsid w:val="00523D51"/>
    <w:rsid w:val="005344D3"/>
    <w:rsid w:val="00535557"/>
    <w:rsid w:val="0053581E"/>
    <w:rsid w:val="005376CD"/>
    <w:rsid w:val="00537B3B"/>
    <w:rsid w:val="0054180B"/>
    <w:rsid w:val="0054303D"/>
    <w:rsid w:val="005437D5"/>
    <w:rsid w:val="00554C18"/>
    <w:rsid w:val="00560505"/>
    <w:rsid w:val="005607F2"/>
    <w:rsid w:val="00561255"/>
    <w:rsid w:val="0056340A"/>
    <w:rsid w:val="00563B80"/>
    <w:rsid w:val="005644C3"/>
    <w:rsid w:val="005650E5"/>
    <w:rsid w:val="00565BEE"/>
    <w:rsid w:val="00566590"/>
    <w:rsid w:val="00571FBE"/>
    <w:rsid w:val="005738A6"/>
    <w:rsid w:val="00574CD6"/>
    <w:rsid w:val="005760E2"/>
    <w:rsid w:val="00577759"/>
    <w:rsid w:val="0058048F"/>
    <w:rsid w:val="005830AF"/>
    <w:rsid w:val="00583CD2"/>
    <w:rsid w:val="00587398"/>
    <w:rsid w:val="0059050C"/>
    <w:rsid w:val="005912BA"/>
    <w:rsid w:val="0059161E"/>
    <w:rsid w:val="0059433D"/>
    <w:rsid w:val="00597504"/>
    <w:rsid w:val="005A0170"/>
    <w:rsid w:val="005A0879"/>
    <w:rsid w:val="005A14CD"/>
    <w:rsid w:val="005A2585"/>
    <w:rsid w:val="005A3375"/>
    <w:rsid w:val="005A581A"/>
    <w:rsid w:val="005B0229"/>
    <w:rsid w:val="005B347F"/>
    <w:rsid w:val="005B56B2"/>
    <w:rsid w:val="005C0F53"/>
    <w:rsid w:val="005C28FA"/>
    <w:rsid w:val="005C334B"/>
    <w:rsid w:val="005C376D"/>
    <w:rsid w:val="005C44C0"/>
    <w:rsid w:val="005C5974"/>
    <w:rsid w:val="005C6B6B"/>
    <w:rsid w:val="005C7AAF"/>
    <w:rsid w:val="005D0CDD"/>
    <w:rsid w:val="005D27E0"/>
    <w:rsid w:val="005E0919"/>
    <w:rsid w:val="005E2088"/>
    <w:rsid w:val="005E30A1"/>
    <w:rsid w:val="005E64C1"/>
    <w:rsid w:val="005E6CD2"/>
    <w:rsid w:val="005E70AA"/>
    <w:rsid w:val="005F13DD"/>
    <w:rsid w:val="005F1938"/>
    <w:rsid w:val="005F76D8"/>
    <w:rsid w:val="005F7CBD"/>
    <w:rsid w:val="00600F15"/>
    <w:rsid w:val="00601F31"/>
    <w:rsid w:val="00616C24"/>
    <w:rsid w:val="00621FF4"/>
    <w:rsid w:val="00623BEC"/>
    <w:rsid w:val="0062752F"/>
    <w:rsid w:val="00633604"/>
    <w:rsid w:val="0063695B"/>
    <w:rsid w:val="00637663"/>
    <w:rsid w:val="00640164"/>
    <w:rsid w:val="00640CA4"/>
    <w:rsid w:val="006439E3"/>
    <w:rsid w:val="00646970"/>
    <w:rsid w:val="00651087"/>
    <w:rsid w:val="006522A8"/>
    <w:rsid w:val="006546EB"/>
    <w:rsid w:val="00661892"/>
    <w:rsid w:val="006629F9"/>
    <w:rsid w:val="00662BB9"/>
    <w:rsid w:val="00662E11"/>
    <w:rsid w:val="0066436A"/>
    <w:rsid w:val="0066498C"/>
    <w:rsid w:val="00667027"/>
    <w:rsid w:val="00667A32"/>
    <w:rsid w:val="0067070D"/>
    <w:rsid w:val="00672DF5"/>
    <w:rsid w:val="00675228"/>
    <w:rsid w:val="006757C6"/>
    <w:rsid w:val="00676706"/>
    <w:rsid w:val="00681627"/>
    <w:rsid w:val="0068374E"/>
    <w:rsid w:val="00684C62"/>
    <w:rsid w:val="00692436"/>
    <w:rsid w:val="00692921"/>
    <w:rsid w:val="00696193"/>
    <w:rsid w:val="00696A5D"/>
    <w:rsid w:val="006A36B7"/>
    <w:rsid w:val="006A37BB"/>
    <w:rsid w:val="006A5AF0"/>
    <w:rsid w:val="006A6156"/>
    <w:rsid w:val="006A73C6"/>
    <w:rsid w:val="006B577D"/>
    <w:rsid w:val="006B5F92"/>
    <w:rsid w:val="006B723A"/>
    <w:rsid w:val="006C111D"/>
    <w:rsid w:val="006C3501"/>
    <w:rsid w:val="006C44A3"/>
    <w:rsid w:val="006C5508"/>
    <w:rsid w:val="006D0BDF"/>
    <w:rsid w:val="006D10E1"/>
    <w:rsid w:val="006D160A"/>
    <w:rsid w:val="006D38D6"/>
    <w:rsid w:val="006E1A79"/>
    <w:rsid w:val="006E2132"/>
    <w:rsid w:val="006E2E97"/>
    <w:rsid w:val="006E5E14"/>
    <w:rsid w:val="006E6BE1"/>
    <w:rsid w:val="006E7652"/>
    <w:rsid w:val="006F16A8"/>
    <w:rsid w:val="006F31DF"/>
    <w:rsid w:val="006F5BF0"/>
    <w:rsid w:val="006F6A06"/>
    <w:rsid w:val="0070139A"/>
    <w:rsid w:val="007037ED"/>
    <w:rsid w:val="0070593A"/>
    <w:rsid w:val="00707D6F"/>
    <w:rsid w:val="00710485"/>
    <w:rsid w:val="00711C79"/>
    <w:rsid w:val="007128DD"/>
    <w:rsid w:val="00717385"/>
    <w:rsid w:val="00717D86"/>
    <w:rsid w:val="00720487"/>
    <w:rsid w:val="007221D8"/>
    <w:rsid w:val="00722F36"/>
    <w:rsid w:val="00723439"/>
    <w:rsid w:val="007234FE"/>
    <w:rsid w:val="00723853"/>
    <w:rsid w:val="00723CDA"/>
    <w:rsid w:val="007246AB"/>
    <w:rsid w:val="00724D3A"/>
    <w:rsid w:val="00733414"/>
    <w:rsid w:val="00734D1E"/>
    <w:rsid w:val="00735D0D"/>
    <w:rsid w:val="00742D75"/>
    <w:rsid w:val="00744750"/>
    <w:rsid w:val="007475B9"/>
    <w:rsid w:val="007508A9"/>
    <w:rsid w:val="00750C7C"/>
    <w:rsid w:val="00750FAD"/>
    <w:rsid w:val="007531D0"/>
    <w:rsid w:val="0075462C"/>
    <w:rsid w:val="00754A75"/>
    <w:rsid w:val="00755F1B"/>
    <w:rsid w:val="0076147F"/>
    <w:rsid w:val="00761AF2"/>
    <w:rsid w:val="0076303E"/>
    <w:rsid w:val="00767857"/>
    <w:rsid w:val="00770A69"/>
    <w:rsid w:val="00771159"/>
    <w:rsid w:val="00772085"/>
    <w:rsid w:val="00773F3B"/>
    <w:rsid w:val="007753B5"/>
    <w:rsid w:val="00775C04"/>
    <w:rsid w:val="007760FB"/>
    <w:rsid w:val="007835E1"/>
    <w:rsid w:val="00783C48"/>
    <w:rsid w:val="00786C06"/>
    <w:rsid w:val="00787950"/>
    <w:rsid w:val="007909DF"/>
    <w:rsid w:val="007919C6"/>
    <w:rsid w:val="00795484"/>
    <w:rsid w:val="00797A8C"/>
    <w:rsid w:val="007A1C18"/>
    <w:rsid w:val="007A3B10"/>
    <w:rsid w:val="007B291A"/>
    <w:rsid w:val="007B2999"/>
    <w:rsid w:val="007B3079"/>
    <w:rsid w:val="007B40C1"/>
    <w:rsid w:val="007B4255"/>
    <w:rsid w:val="007B57E9"/>
    <w:rsid w:val="007B5D72"/>
    <w:rsid w:val="007B680E"/>
    <w:rsid w:val="007B69B6"/>
    <w:rsid w:val="007C0F13"/>
    <w:rsid w:val="007C346D"/>
    <w:rsid w:val="007C3879"/>
    <w:rsid w:val="007C3C34"/>
    <w:rsid w:val="007C7631"/>
    <w:rsid w:val="007D0632"/>
    <w:rsid w:val="007D185D"/>
    <w:rsid w:val="007D2379"/>
    <w:rsid w:val="007D5005"/>
    <w:rsid w:val="007D5CD6"/>
    <w:rsid w:val="007D5D5F"/>
    <w:rsid w:val="007E0718"/>
    <w:rsid w:val="007E210F"/>
    <w:rsid w:val="007E3E3A"/>
    <w:rsid w:val="007E4776"/>
    <w:rsid w:val="007E485B"/>
    <w:rsid w:val="007E62C0"/>
    <w:rsid w:val="007E6E16"/>
    <w:rsid w:val="007F01E1"/>
    <w:rsid w:val="007F0B8F"/>
    <w:rsid w:val="007F1070"/>
    <w:rsid w:val="007F12D3"/>
    <w:rsid w:val="007F27CC"/>
    <w:rsid w:val="007F2FC4"/>
    <w:rsid w:val="007F31C6"/>
    <w:rsid w:val="007F3D35"/>
    <w:rsid w:val="007F3F5F"/>
    <w:rsid w:val="007F70F1"/>
    <w:rsid w:val="007F7387"/>
    <w:rsid w:val="00800227"/>
    <w:rsid w:val="0080107F"/>
    <w:rsid w:val="00801BCB"/>
    <w:rsid w:val="00804063"/>
    <w:rsid w:val="008047E2"/>
    <w:rsid w:val="00811F16"/>
    <w:rsid w:val="00816250"/>
    <w:rsid w:val="00816326"/>
    <w:rsid w:val="00817506"/>
    <w:rsid w:val="00817874"/>
    <w:rsid w:val="00817BC9"/>
    <w:rsid w:val="00820313"/>
    <w:rsid w:val="008218AD"/>
    <w:rsid w:val="00824A51"/>
    <w:rsid w:val="00826620"/>
    <w:rsid w:val="00836C57"/>
    <w:rsid w:val="00836EC7"/>
    <w:rsid w:val="0084510B"/>
    <w:rsid w:val="008452EF"/>
    <w:rsid w:val="008454EE"/>
    <w:rsid w:val="00846799"/>
    <w:rsid w:val="00850D2D"/>
    <w:rsid w:val="00852239"/>
    <w:rsid w:val="00857EE9"/>
    <w:rsid w:val="008604DF"/>
    <w:rsid w:val="00862F43"/>
    <w:rsid w:val="00864375"/>
    <w:rsid w:val="00865D64"/>
    <w:rsid w:val="00872FD4"/>
    <w:rsid w:val="0087346D"/>
    <w:rsid w:val="008755DB"/>
    <w:rsid w:val="008764C2"/>
    <w:rsid w:val="00877EB7"/>
    <w:rsid w:val="0088293C"/>
    <w:rsid w:val="00882F0E"/>
    <w:rsid w:val="00885ACF"/>
    <w:rsid w:val="00887ADB"/>
    <w:rsid w:val="00887F2A"/>
    <w:rsid w:val="008903F0"/>
    <w:rsid w:val="00892D8B"/>
    <w:rsid w:val="0089424D"/>
    <w:rsid w:val="00894C6B"/>
    <w:rsid w:val="0089550C"/>
    <w:rsid w:val="008A2355"/>
    <w:rsid w:val="008A3813"/>
    <w:rsid w:val="008A4D4F"/>
    <w:rsid w:val="008A6C4C"/>
    <w:rsid w:val="008B6E7B"/>
    <w:rsid w:val="008C38B0"/>
    <w:rsid w:val="008C4E16"/>
    <w:rsid w:val="008C7875"/>
    <w:rsid w:val="008D084F"/>
    <w:rsid w:val="008D25FC"/>
    <w:rsid w:val="008D53EE"/>
    <w:rsid w:val="008D6694"/>
    <w:rsid w:val="008D6A6D"/>
    <w:rsid w:val="008E164F"/>
    <w:rsid w:val="008E4A50"/>
    <w:rsid w:val="008E52B1"/>
    <w:rsid w:val="008E566E"/>
    <w:rsid w:val="008E609C"/>
    <w:rsid w:val="008F148C"/>
    <w:rsid w:val="008F375D"/>
    <w:rsid w:val="008F3AD0"/>
    <w:rsid w:val="008F59CA"/>
    <w:rsid w:val="008F754A"/>
    <w:rsid w:val="008F7676"/>
    <w:rsid w:val="008F7775"/>
    <w:rsid w:val="0090001C"/>
    <w:rsid w:val="00901C3B"/>
    <w:rsid w:val="00904BB1"/>
    <w:rsid w:val="009052FF"/>
    <w:rsid w:val="009072FD"/>
    <w:rsid w:val="00912484"/>
    <w:rsid w:val="0091531B"/>
    <w:rsid w:val="0091537E"/>
    <w:rsid w:val="00917FAB"/>
    <w:rsid w:val="00921EA9"/>
    <w:rsid w:val="00926B9D"/>
    <w:rsid w:val="00926D4E"/>
    <w:rsid w:val="009300DA"/>
    <w:rsid w:val="009304EC"/>
    <w:rsid w:val="0093327E"/>
    <w:rsid w:val="00933B99"/>
    <w:rsid w:val="00935358"/>
    <w:rsid w:val="009357D5"/>
    <w:rsid w:val="00935D07"/>
    <w:rsid w:val="00943AA5"/>
    <w:rsid w:val="00943B50"/>
    <w:rsid w:val="00944169"/>
    <w:rsid w:val="00945008"/>
    <w:rsid w:val="00951173"/>
    <w:rsid w:val="0095322A"/>
    <w:rsid w:val="00953BE0"/>
    <w:rsid w:val="009545EB"/>
    <w:rsid w:val="00956ED0"/>
    <w:rsid w:val="00967D31"/>
    <w:rsid w:val="00967DF5"/>
    <w:rsid w:val="00973118"/>
    <w:rsid w:val="0097507B"/>
    <w:rsid w:val="00976677"/>
    <w:rsid w:val="009766B2"/>
    <w:rsid w:val="00980834"/>
    <w:rsid w:val="009809CF"/>
    <w:rsid w:val="00982F6E"/>
    <w:rsid w:val="00984E2A"/>
    <w:rsid w:val="00986C99"/>
    <w:rsid w:val="0098782F"/>
    <w:rsid w:val="0099307C"/>
    <w:rsid w:val="0099340D"/>
    <w:rsid w:val="009935C6"/>
    <w:rsid w:val="00995F11"/>
    <w:rsid w:val="009979A6"/>
    <w:rsid w:val="009A2D6F"/>
    <w:rsid w:val="009A753E"/>
    <w:rsid w:val="009A7786"/>
    <w:rsid w:val="009B2672"/>
    <w:rsid w:val="009C06FE"/>
    <w:rsid w:val="009C0CF5"/>
    <w:rsid w:val="009C179B"/>
    <w:rsid w:val="009C357E"/>
    <w:rsid w:val="009C40AF"/>
    <w:rsid w:val="009C5391"/>
    <w:rsid w:val="009C543F"/>
    <w:rsid w:val="009C56D4"/>
    <w:rsid w:val="009C6328"/>
    <w:rsid w:val="009D1EDF"/>
    <w:rsid w:val="009D4A55"/>
    <w:rsid w:val="009D5AB9"/>
    <w:rsid w:val="009E1D86"/>
    <w:rsid w:val="009E1E03"/>
    <w:rsid w:val="009E2762"/>
    <w:rsid w:val="009E40AC"/>
    <w:rsid w:val="009E5FF2"/>
    <w:rsid w:val="009F1162"/>
    <w:rsid w:val="009F49C2"/>
    <w:rsid w:val="009F6493"/>
    <w:rsid w:val="009F6BD2"/>
    <w:rsid w:val="009F6E80"/>
    <w:rsid w:val="00A0095A"/>
    <w:rsid w:val="00A01004"/>
    <w:rsid w:val="00A01C49"/>
    <w:rsid w:val="00A02A8E"/>
    <w:rsid w:val="00A02FEC"/>
    <w:rsid w:val="00A07538"/>
    <w:rsid w:val="00A07AE3"/>
    <w:rsid w:val="00A106B4"/>
    <w:rsid w:val="00A12060"/>
    <w:rsid w:val="00A16911"/>
    <w:rsid w:val="00A212AE"/>
    <w:rsid w:val="00A21571"/>
    <w:rsid w:val="00A218AC"/>
    <w:rsid w:val="00A21CC5"/>
    <w:rsid w:val="00A26364"/>
    <w:rsid w:val="00A30C6C"/>
    <w:rsid w:val="00A317BB"/>
    <w:rsid w:val="00A32F86"/>
    <w:rsid w:val="00A336A8"/>
    <w:rsid w:val="00A35835"/>
    <w:rsid w:val="00A35D63"/>
    <w:rsid w:val="00A368CC"/>
    <w:rsid w:val="00A37132"/>
    <w:rsid w:val="00A37313"/>
    <w:rsid w:val="00A41439"/>
    <w:rsid w:val="00A423E2"/>
    <w:rsid w:val="00A42F9A"/>
    <w:rsid w:val="00A431C4"/>
    <w:rsid w:val="00A50484"/>
    <w:rsid w:val="00A51E96"/>
    <w:rsid w:val="00A521A7"/>
    <w:rsid w:val="00A52397"/>
    <w:rsid w:val="00A52497"/>
    <w:rsid w:val="00A53A58"/>
    <w:rsid w:val="00A54700"/>
    <w:rsid w:val="00A578C9"/>
    <w:rsid w:val="00A57F43"/>
    <w:rsid w:val="00A611D9"/>
    <w:rsid w:val="00A63C65"/>
    <w:rsid w:val="00A64FED"/>
    <w:rsid w:val="00A67A56"/>
    <w:rsid w:val="00A71C09"/>
    <w:rsid w:val="00A7346D"/>
    <w:rsid w:val="00A74306"/>
    <w:rsid w:val="00A75422"/>
    <w:rsid w:val="00A75603"/>
    <w:rsid w:val="00A75614"/>
    <w:rsid w:val="00A76DE0"/>
    <w:rsid w:val="00A82D2E"/>
    <w:rsid w:val="00A83FA1"/>
    <w:rsid w:val="00A840A8"/>
    <w:rsid w:val="00A847FD"/>
    <w:rsid w:val="00A92848"/>
    <w:rsid w:val="00A94BED"/>
    <w:rsid w:val="00A95271"/>
    <w:rsid w:val="00A977FA"/>
    <w:rsid w:val="00AA18D9"/>
    <w:rsid w:val="00AA2330"/>
    <w:rsid w:val="00AA32AB"/>
    <w:rsid w:val="00AA6149"/>
    <w:rsid w:val="00AB13F1"/>
    <w:rsid w:val="00AB2988"/>
    <w:rsid w:val="00AB2BB2"/>
    <w:rsid w:val="00AB367F"/>
    <w:rsid w:val="00AB3CB0"/>
    <w:rsid w:val="00AB4451"/>
    <w:rsid w:val="00AC1302"/>
    <w:rsid w:val="00AC2AC5"/>
    <w:rsid w:val="00AC6ED4"/>
    <w:rsid w:val="00AD02AC"/>
    <w:rsid w:val="00AD0E85"/>
    <w:rsid w:val="00AD125B"/>
    <w:rsid w:val="00AD2A5C"/>
    <w:rsid w:val="00AD4ADC"/>
    <w:rsid w:val="00AD4E4D"/>
    <w:rsid w:val="00AD6FA3"/>
    <w:rsid w:val="00AE3845"/>
    <w:rsid w:val="00AE66D1"/>
    <w:rsid w:val="00AF10D4"/>
    <w:rsid w:val="00AF10E7"/>
    <w:rsid w:val="00AF1FE5"/>
    <w:rsid w:val="00AF32C3"/>
    <w:rsid w:val="00AF57B7"/>
    <w:rsid w:val="00AF6B4F"/>
    <w:rsid w:val="00AF72D8"/>
    <w:rsid w:val="00B0103B"/>
    <w:rsid w:val="00B012D5"/>
    <w:rsid w:val="00B0161D"/>
    <w:rsid w:val="00B02CBC"/>
    <w:rsid w:val="00B0649E"/>
    <w:rsid w:val="00B06917"/>
    <w:rsid w:val="00B10C6E"/>
    <w:rsid w:val="00B11D48"/>
    <w:rsid w:val="00B232A4"/>
    <w:rsid w:val="00B23DAE"/>
    <w:rsid w:val="00B24306"/>
    <w:rsid w:val="00B2433B"/>
    <w:rsid w:val="00B30AF8"/>
    <w:rsid w:val="00B332C1"/>
    <w:rsid w:val="00B33C95"/>
    <w:rsid w:val="00B3725D"/>
    <w:rsid w:val="00B44195"/>
    <w:rsid w:val="00B477A3"/>
    <w:rsid w:val="00B5175E"/>
    <w:rsid w:val="00B55322"/>
    <w:rsid w:val="00B61102"/>
    <w:rsid w:val="00B61FB8"/>
    <w:rsid w:val="00B66186"/>
    <w:rsid w:val="00B70A42"/>
    <w:rsid w:val="00B71C2D"/>
    <w:rsid w:val="00B81411"/>
    <w:rsid w:val="00B82BED"/>
    <w:rsid w:val="00B85376"/>
    <w:rsid w:val="00B86E9E"/>
    <w:rsid w:val="00B87B56"/>
    <w:rsid w:val="00B905BD"/>
    <w:rsid w:val="00B96554"/>
    <w:rsid w:val="00B9761A"/>
    <w:rsid w:val="00BA3BFB"/>
    <w:rsid w:val="00BA4830"/>
    <w:rsid w:val="00BA4D5C"/>
    <w:rsid w:val="00BA55C5"/>
    <w:rsid w:val="00BA5B21"/>
    <w:rsid w:val="00BA73F6"/>
    <w:rsid w:val="00BB0D25"/>
    <w:rsid w:val="00BB1364"/>
    <w:rsid w:val="00BB1BB2"/>
    <w:rsid w:val="00BB515E"/>
    <w:rsid w:val="00BB6225"/>
    <w:rsid w:val="00BC2587"/>
    <w:rsid w:val="00BC2A11"/>
    <w:rsid w:val="00BC3075"/>
    <w:rsid w:val="00BC3F5D"/>
    <w:rsid w:val="00BC416D"/>
    <w:rsid w:val="00BC4ECF"/>
    <w:rsid w:val="00BC4FB7"/>
    <w:rsid w:val="00BD0720"/>
    <w:rsid w:val="00BD1F5F"/>
    <w:rsid w:val="00BD258B"/>
    <w:rsid w:val="00BD3799"/>
    <w:rsid w:val="00BD5888"/>
    <w:rsid w:val="00BE0F24"/>
    <w:rsid w:val="00BE3960"/>
    <w:rsid w:val="00BE5F31"/>
    <w:rsid w:val="00BE7373"/>
    <w:rsid w:val="00BE74DB"/>
    <w:rsid w:val="00BF411C"/>
    <w:rsid w:val="00BF52A3"/>
    <w:rsid w:val="00BF7240"/>
    <w:rsid w:val="00C0000C"/>
    <w:rsid w:val="00C03C39"/>
    <w:rsid w:val="00C0560F"/>
    <w:rsid w:val="00C105B4"/>
    <w:rsid w:val="00C116F0"/>
    <w:rsid w:val="00C124CB"/>
    <w:rsid w:val="00C142FA"/>
    <w:rsid w:val="00C15DAC"/>
    <w:rsid w:val="00C171BB"/>
    <w:rsid w:val="00C213DA"/>
    <w:rsid w:val="00C21F52"/>
    <w:rsid w:val="00C22C18"/>
    <w:rsid w:val="00C26D08"/>
    <w:rsid w:val="00C308A8"/>
    <w:rsid w:val="00C34297"/>
    <w:rsid w:val="00C416CC"/>
    <w:rsid w:val="00C535EB"/>
    <w:rsid w:val="00C53A8F"/>
    <w:rsid w:val="00C5667C"/>
    <w:rsid w:val="00C616D0"/>
    <w:rsid w:val="00C655F1"/>
    <w:rsid w:val="00C65692"/>
    <w:rsid w:val="00C717CD"/>
    <w:rsid w:val="00C72B33"/>
    <w:rsid w:val="00C733DA"/>
    <w:rsid w:val="00C737C2"/>
    <w:rsid w:val="00C76BCA"/>
    <w:rsid w:val="00C76CFE"/>
    <w:rsid w:val="00C772EE"/>
    <w:rsid w:val="00C80BFD"/>
    <w:rsid w:val="00C8563B"/>
    <w:rsid w:val="00C8696F"/>
    <w:rsid w:val="00C87204"/>
    <w:rsid w:val="00C87DE6"/>
    <w:rsid w:val="00C93A6A"/>
    <w:rsid w:val="00C93F45"/>
    <w:rsid w:val="00CA0BDA"/>
    <w:rsid w:val="00CA0C88"/>
    <w:rsid w:val="00CA0DA8"/>
    <w:rsid w:val="00CA22E8"/>
    <w:rsid w:val="00CA2A23"/>
    <w:rsid w:val="00CA2E83"/>
    <w:rsid w:val="00CA2F19"/>
    <w:rsid w:val="00CA5D45"/>
    <w:rsid w:val="00CA63C4"/>
    <w:rsid w:val="00CA6FD4"/>
    <w:rsid w:val="00CB2443"/>
    <w:rsid w:val="00CB53BA"/>
    <w:rsid w:val="00CB72D0"/>
    <w:rsid w:val="00CB7442"/>
    <w:rsid w:val="00CB7993"/>
    <w:rsid w:val="00CC00BF"/>
    <w:rsid w:val="00CC03B3"/>
    <w:rsid w:val="00CC25F7"/>
    <w:rsid w:val="00CC4332"/>
    <w:rsid w:val="00CC590D"/>
    <w:rsid w:val="00CC767F"/>
    <w:rsid w:val="00CD20D7"/>
    <w:rsid w:val="00CD247B"/>
    <w:rsid w:val="00CD3EAC"/>
    <w:rsid w:val="00CD6027"/>
    <w:rsid w:val="00CD708F"/>
    <w:rsid w:val="00CE03AC"/>
    <w:rsid w:val="00CE2A2C"/>
    <w:rsid w:val="00CE4830"/>
    <w:rsid w:val="00CE58BF"/>
    <w:rsid w:val="00CE5C64"/>
    <w:rsid w:val="00CE7390"/>
    <w:rsid w:val="00CF66E9"/>
    <w:rsid w:val="00D02AFF"/>
    <w:rsid w:val="00D05148"/>
    <w:rsid w:val="00D07AAD"/>
    <w:rsid w:val="00D108D9"/>
    <w:rsid w:val="00D139AA"/>
    <w:rsid w:val="00D144FF"/>
    <w:rsid w:val="00D15F3C"/>
    <w:rsid w:val="00D1684E"/>
    <w:rsid w:val="00D208A1"/>
    <w:rsid w:val="00D2183B"/>
    <w:rsid w:val="00D23EFE"/>
    <w:rsid w:val="00D25374"/>
    <w:rsid w:val="00D25900"/>
    <w:rsid w:val="00D2707C"/>
    <w:rsid w:val="00D302F6"/>
    <w:rsid w:val="00D34A4A"/>
    <w:rsid w:val="00D40554"/>
    <w:rsid w:val="00D40570"/>
    <w:rsid w:val="00D4199D"/>
    <w:rsid w:val="00D41DA3"/>
    <w:rsid w:val="00D422A6"/>
    <w:rsid w:val="00D46A97"/>
    <w:rsid w:val="00D47475"/>
    <w:rsid w:val="00D4795B"/>
    <w:rsid w:val="00D50F43"/>
    <w:rsid w:val="00D536E0"/>
    <w:rsid w:val="00D53BC0"/>
    <w:rsid w:val="00D543B7"/>
    <w:rsid w:val="00D55DDE"/>
    <w:rsid w:val="00D567AD"/>
    <w:rsid w:val="00D57C9F"/>
    <w:rsid w:val="00D63ABD"/>
    <w:rsid w:val="00D65944"/>
    <w:rsid w:val="00D7483F"/>
    <w:rsid w:val="00D74E08"/>
    <w:rsid w:val="00D762EF"/>
    <w:rsid w:val="00D76FAA"/>
    <w:rsid w:val="00D77CF9"/>
    <w:rsid w:val="00D8113A"/>
    <w:rsid w:val="00D90130"/>
    <w:rsid w:val="00D92448"/>
    <w:rsid w:val="00D927C9"/>
    <w:rsid w:val="00D94855"/>
    <w:rsid w:val="00D96939"/>
    <w:rsid w:val="00D9776C"/>
    <w:rsid w:val="00D97B9C"/>
    <w:rsid w:val="00D97E81"/>
    <w:rsid w:val="00DA0833"/>
    <w:rsid w:val="00DA23F1"/>
    <w:rsid w:val="00DA34DB"/>
    <w:rsid w:val="00DA3923"/>
    <w:rsid w:val="00DB06F6"/>
    <w:rsid w:val="00DB0EE7"/>
    <w:rsid w:val="00DB29AF"/>
    <w:rsid w:val="00DB4EB1"/>
    <w:rsid w:val="00DC3F21"/>
    <w:rsid w:val="00DC5D97"/>
    <w:rsid w:val="00DC6C67"/>
    <w:rsid w:val="00DD0314"/>
    <w:rsid w:val="00DD1F1B"/>
    <w:rsid w:val="00DD2BB1"/>
    <w:rsid w:val="00DD3248"/>
    <w:rsid w:val="00DD3D11"/>
    <w:rsid w:val="00DD4F1D"/>
    <w:rsid w:val="00DD78C7"/>
    <w:rsid w:val="00DD7D9F"/>
    <w:rsid w:val="00DE28E6"/>
    <w:rsid w:val="00DE4EFB"/>
    <w:rsid w:val="00DE54A1"/>
    <w:rsid w:val="00DE5DCD"/>
    <w:rsid w:val="00DF0DF7"/>
    <w:rsid w:val="00DF2B0A"/>
    <w:rsid w:val="00DF5F5F"/>
    <w:rsid w:val="00DF6174"/>
    <w:rsid w:val="00DF767B"/>
    <w:rsid w:val="00DF79F7"/>
    <w:rsid w:val="00E020A1"/>
    <w:rsid w:val="00E04B0B"/>
    <w:rsid w:val="00E120F7"/>
    <w:rsid w:val="00E1485D"/>
    <w:rsid w:val="00E17B4E"/>
    <w:rsid w:val="00E17C62"/>
    <w:rsid w:val="00E200BE"/>
    <w:rsid w:val="00E20E9F"/>
    <w:rsid w:val="00E21B45"/>
    <w:rsid w:val="00E21ED9"/>
    <w:rsid w:val="00E2731C"/>
    <w:rsid w:val="00E30759"/>
    <w:rsid w:val="00E30A77"/>
    <w:rsid w:val="00E35972"/>
    <w:rsid w:val="00E35C71"/>
    <w:rsid w:val="00E43A04"/>
    <w:rsid w:val="00E445DD"/>
    <w:rsid w:val="00E46F7B"/>
    <w:rsid w:val="00E473F4"/>
    <w:rsid w:val="00E51E3A"/>
    <w:rsid w:val="00E53731"/>
    <w:rsid w:val="00E549B7"/>
    <w:rsid w:val="00E561A8"/>
    <w:rsid w:val="00E565E2"/>
    <w:rsid w:val="00E57265"/>
    <w:rsid w:val="00E60E74"/>
    <w:rsid w:val="00E614FF"/>
    <w:rsid w:val="00E651A8"/>
    <w:rsid w:val="00E65AF3"/>
    <w:rsid w:val="00E665C2"/>
    <w:rsid w:val="00E66F2B"/>
    <w:rsid w:val="00E67527"/>
    <w:rsid w:val="00E70412"/>
    <w:rsid w:val="00E748BA"/>
    <w:rsid w:val="00E75EA4"/>
    <w:rsid w:val="00E76C51"/>
    <w:rsid w:val="00E81DF8"/>
    <w:rsid w:val="00E8251F"/>
    <w:rsid w:val="00E83E0B"/>
    <w:rsid w:val="00E86ACF"/>
    <w:rsid w:val="00E87C76"/>
    <w:rsid w:val="00E90810"/>
    <w:rsid w:val="00E932F5"/>
    <w:rsid w:val="00E93526"/>
    <w:rsid w:val="00E93AFB"/>
    <w:rsid w:val="00E950F0"/>
    <w:rsid w:val="00E9521B"/>
    <w:rsid w:val="00E958D7"/>
    <w:rsid w:val="00E95C7B"/>
    <w:rsid w:val="00E97F81"/>
    <w:rsid w:val="00EA0D00"/>
    <w:rsid w:val="00EA1BC4"/>
    <w:rsid w:val="00EA20E7"/>
    <w:rsid w:val="00EA3BBF"/>
    <w:rsid w:val="00EA40A5"/>
    <w:rsid w:val="00EA4558"/>
    <w:rsid w:val="00EB0874"/>
    <w:rsid w:val="00EB1632"/>
    <w:rsid w:val="00EB1F37"/>
    <w:rsid w:val="00EB2994"/>
    <w:rsid w:val="00EB547A"/>
    <w:rsid w:val="00EB5A23"/>
    <w:rsid w:val="00EB61F3"/>
    <w:rsid w:val="00EC4639"/>
    <w:rsid w:val="00EC4BF4"/>
    <w:rsid w:val="00EC6F06"/>
    <w:rsid w:val="00ED0206"/>
    <w:rsid w:val="00ED20D3"/>
    <w:rsid w:val="00ED2677"/>
    <w:rsid w:val="00ED441A"/>
    <w:rsid w:val="00ED4639"/>
    <w:rsid w:val="00ED7743"/>
    <w:rsid w:val="00ED7744"/>
    <w:rsid w:val="00EE16C5"/>
    <w:rsid w:val="00EE33D2"/>
    <w:rsid w:val="00EE5BBA"/>
    <w:rsid w:val="00EE5D26"/>
    <w:rsid w:val="00EE607E"/>
    <w:rsid w:val="00EE7865"/>
    <w:rsid w:val="00EF0426"/>
    <w:rsid w:val="00EF10DB"/>
    <w:rsid w:val="00EF45CB"/>
    <w:rsid w:val="00EF5D70"/>
    <w:rsid w:val="00F0022D"/>
    <w:rsid w:val="00F07B76"/>
    <w:rsid w:val="00F11DF3"/>
    <w:rsid w:val="00F200A5"/>
    <w:rsid w:val="00F21AFA"/>
    <w:rsid w:val="00F22965"/>
    <w:rsid w:val="00F2526A"/>
    <w:rsid w:val="00F30367"/>
    <w:rsid w:val="00F33735"/>
    <w:rsid w:val="00F3529E"/>
    <w:rsid w:val="00F3727C"/>
    <w:rsid w:val="00F37D4C"/>
    <w:rsid w:val="00F514BB"/>
    <w:rsid w:val="00F51B45"/>
    <w:rsid w:val="00F53AEF"/>
    <w:rsid w:val="00F56A18"/>
    <w:rsid w:val="00F60A8C"/>
    <w:rsid w:val="00F6346B"/>
    <w:rsid w:val="00F65956"/>
    <w:rsid w:val="00F65FD1"/>
    <w:rsid w:val="00F675D9"/>
    <w:rsid w:val="00F71B57"/>
    <w:rsid w:val="00F729B5"/>
    <w:rsid w:val="00F73503"/>
    <w:rsid w:val="00F74ABE"/>
    <w:rsid w:val="00F74F49"/>
    <w:rsid w:val="00F77A0A"/>
    <w:rsid w:val="00F825EE"/>
    <w:rsid w:val="00F84498"/>
    <w:rsid w:val="00F84A03"/>
    <w:rsid w:val="00F866BA"/>
    <w:rsid w:val="00F86C96"/>
    <w:rsid w:val="00F9094E"/>
    <w:rsid w:val="00F9098D"/>
    <w:rsid w:val="00F91636"/>
    <w:rsid w:val="00F932E7"/>
    <w:rsid w:val="00F9422C"/>
    <w:rsid w:val="00F97BE5"/>
    <w:rsid w:val="00FA11F5"/>
    <w:rsid w:val="00FA17FB"/>
    <w:rsid w:val="00FA5DCB"/>
    <w:rsid w:val="00FA5F3F"/>
    <w:rsid w:val="00FA5F93"/>
    <w:rsid w:val="00FA7855"/>
    <w:rsid w:val="00FA7FC0"/>
    <w:rsid w:val="00FB342A"/>
    <w:rsid w:val="00FB3A14"/>
    <w:rsid w:val="00FB4142"/>
    <w:rsid w:val="00FB4806"/>
    <w:rsid w:val="00FB5FA5"/>
    <w:rsid w:val="00FB6A25"/>
    <w:rsid w:val="00FC055E"/>
    <w:rsid w:val="00FC0A8F"/>
    <w:rsid w:val="00FC7444"/>
    <w:rsid w:val="00FC7685"/>
    <w:rsid w:val="00FD007B"/>
    <w:rsid w:val="00FD39EB"/>
    <w:rsid w:val="00FD61AE"/>
    <w:rsid w:val="00FE06A6"/>
    <w:rsid w:val="00FE1D7D"/>
    <w:rsid w:val="00FE3272"/>
    <w:rsid w:val="00FE39FA"/>
    <w:rsid w:val="00FE3C40"/>
    <w:rsid w:val="00FE4874"/>
    <w:rsid w:val="00FE6903"/>
    <w:rsid w:val="00FE6E17"/>
    <w:rsid w:val="00FF0439"/>
    <w:rsid w:val="00FF1090"/>
    <w:rsid w:val="00FF282E"/>
    <w:rsid w:val="00FF441A"/>
    <w:rsid w:val="00FF46DE"/>
    <w:rsid w:val="00FF5114"/>
    <w:rsid w:val="00FF72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371FE4"/>
  <w15:docId w15:val="{C618971B-615C-4DB1-A47F-FC18D3B4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B3B"/>
    <w:rPr>
      <w:rFonts w:ascii="Times New Roman" w:eastAsia="Times New Roman" w:hAnsi="Times New Roman" w:cs="Times New Roman"/>
      <w:sz w:val="24"/>
      <w:szCs w:val="24"/>
    </w:rPr>
  </w:style>
  <w:style w:type="paragraph" w:styleId="Ttulo1">
    <w:name w:val="heading 1"/>
    <w:basedOn w:val="Normal"/>
    <w:next w:val="Normal"/>
    <w:link w:val="Ttulo1Car"/>
    <w:qFormat/>
    <w:locked/>
    <w:rsid w:val="008F59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semiHidden/>
    <w:unhideWhenUsed/>
    <w:qFormat/>
    <w:locked/>
    <w:rsid w:val="00A423E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semiHidden/>
    <w:unhideWhenUsed/>
    <w:qFormat/>
    <w:locked/>
    <w:rsid w:val="00A423E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rsid w:val="00926D4E"/>
    <w:rPr>
      <w:sz w:val="20"/>
      <w:szCs w:val="20"/>
    </w:rPr>
  </w:style>
  <w:style w:type="character" w:customStyle="1" w:styleId="TextocomentarioCar">
    <w:name w:val="Texto comentario Car"/>
    <w:basedOn w:val="Fuentedeprrafopredeter"/>
    <w:link w:val="Textocomentario"/>
    <w:uiPriority w:val="99"/>
    <w:semiHidden/>
    <w:locked/>
    <w:rsid w:val="00926D4E"/>
    <w:rPr>
      <w:rFonts w:ascii="Times New Roman" w:hAnsi="Times New Roman" w:cs="Times New Roman"/>
      <w:sz w:val="20"/>
      <w:szCs w:val="20"/>
      <w:lang w:eastAsia="es-ES"/>
    </w:rPr>
  </w:style>
  <w:style w:type="character" w:styleId="Refdecomentario">
    <w:name w:val="annotation reference"/>
    <w:basedOn w:val="Fuentedeprrafopredeter"/>
    <w:uiPriority w:val="99"/>
    <w:semiHidden/>
    <w:rsid w:val="00926D4E"/>
    <w:rPr>
      <w:rFonts w:cs="Times New Roman"/>
      <w:sz w:val="16"/>
      <w:szCs w:val="16"/>
    </w:rPr>
  </w:style>
  <w:style w:type="paragraph" w:styleId="Textodeglobo">
    <w:name w:val="Balloon Text"/>
    <w:basedOn w:val="Normal"/>
    <w:link w:val="TextodegloboCar"/>
    <w:uiPriority w:val="99"/>
    <w:semiHidden/>
    <w:rsid w:val="00926D4E"/>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926D4E"/>
    <w:rPr>
      <w:rFonts w:ascii="Segoe UI" w:hAnsi="Segoe UI" w:cs="Segoe UI"/>
      <w:sz w:val="18"/>
      <w:szCs w:val="18"/>
      <w:lang w:eastAsia="es-ES"/>
    </w:rPr>
  </w:style>
  <w:style w:type="character" w:styleId="Hipervnculo">
    <w:name w:val="Hyperlink"/>
    <w:basedOn w:val="Fuentedeprrafopredeter"/>
    <w:uiPriority w:val="99"/>
    <w:rsid w:val="00F71B57"/>
    <w:rPr>
      <w:rFonts w:cs="Times New Roman"/>
      <w:color w:val="0563C1"/>
      <w:u w:val="single"/>
    </w:rPr>
  </w:style>
  <w:style w:type="character" w:customStyle="1" w:styleId="Mencinsinresolver1">
    <w:name w:val="Mención sin resolver1"/>
    <w:basedOn w:val="Fuentedeprrafopredeter"/>
    <w:uiPriority w:val="99"/>
    <w:semiHidden/>
    <w:rsid w:val="00F675D9"/>
    <w:rPr>
      <w:rFonts w:cs="Times New Roman"/>
      <w:color w:val="605E5C"/>
      <w:shd w:val="clear" w:color="auto" w:fill="E1DFDD"/>
    </w:rPr>
  </w:style>
  <w:style w:type="paragraph" w:styleId="Encabezado">
    <w:name w:val="header"/>
    <w:basedOn w:val="Normal"/>
    <w:link w:val="EncabezadoCar"/>
    <w:uiPriority w:val="99"/>
    <w:rsid w:val="00F675D9"/>
    <w:pPr>
      <w:tabs>
        <w:tab w:val="center" w:pos="4252"/>
        <w:tab w:val="right" w:pos="8504"/>
      </w:tabs>
    </w:pPr>
  </w:style>
  <w:style w:type="character" w:customStyle="1" w:styleId="EncabezadoCar">
    <w:name w:val="Encabezado Car"/>
    <w:basedOn w:val="Fuentedeprrafopredeter"/>
    <w:link w:val="Encabezado"/>
    <w:uiPriority w:val="99"/>
    <w:locked/>
    <w:rsid w:val="00F675D9"/>
    <w:rPr>
      <w:rFonts w:ascii="Times New Roman" w:hAnsi="Times New Roman" w:cs="Times New Roman"/>
      <w:sz w:val="24"/>
      <w:szCs w:val="24"/>
      <w:lang w:eastAsia="es-ES"/>
    </w:rPr>
  </w:style>
  <w:style w:type="paragraph" w:styleId="Piedepgina">
    <w:name w:val="footer"/>
    <w:basedOn w:val="Normal"/>
    <w:link w:val="PiedepginaCar"/>
    <w:uiPriority w:val="99"/>
    <w:rsid w:val="00F675D9"/>
    <w:pPr>
      <w:tabs>
        <w:tab w:val="center" w:pos="4252"/>
        <w:tab w:val="right" w:pos="8504"/>
      </w:tabs>
    </w:pPr>
  </w:style>
  <w:style w:type="character" w:customStyle="1" w:styleId="PiedepginaCar">
    <w:name w:val="Pie de página Car"/>
    <w:basedOn w:val="Fuentedeprrafopredeter"/>
    <w:link w:val="Piedepgina"/>
    <w:uiPriority w:val="99"/>
    <w:locked/>
    <w:rsid w:val="00F675D9"/>
    <w:rPr>
      <w:rFonts w:ascii="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rsid w:val="00816250"/>
    <w:rPr>
      <w:b/>
      <w:bCs/>
    </w:rPr>
  </w:style>
  <w:style w:type="character" w:customStyle="1" w:styleId="AsuntodelcomentarioCar">
    <w:name w:val="Asunto del comentario Car"/>
    <w:basedOn w:val="TextocomentarioCar"/>
    <w:link w:val="Asuntodelcomentario"/>
    <w:uiPriority w:val="99"/>
    <w:semiHidden/>
    <w:locked/>
    <w:rsid w:val="00816250"/>
    <w:rPr>
      <w:rFonts w:ascii="Times New Roman" w:hAnsi="Times New Roman" w:cs="Times New Roman"/>
      <w:b/>
      <w:bCs/>
      <w:sz w:val="20"/>
      <w:szCs w:val="20"/>
      <w:lang w:eastAsia="es-ES"/>
    </w:rPr>
  </w:style>
  <w:style w:type="character" w:customStyle="1" w:styleId="Mencinsinresolver2">
    <w:name w:val="Mención sin resolver2"/>
    <w:basedOn w:val="Fuentedeprrafopredeter"/>
    <w:uiPriority w:val="99"/>
    <w:semiHidden/>
    <w:rsid w:val="00001832"/>
    <w:rPr>
      <w:rFonts w:cs="Times New Roman"/>
      <w:color w:val="605E5C"/>
      <w:shd w:val="clear" w:color="auto" w:fill="E1DFDD"/>
    </w:rPr>
  </w:style>
  <w:style w:type="paragraph" w:styleId="Revisin">
    <w:name w:val="Revision"/>
    <w:hidden/>
    <w:uiPriority w:val="99"/>
    <w:semiHidden/>
    <w:rsid w:val="00004C87"/>
    <w:rPr>
      <w:rFonts w:ascii="Times New Roman" w:eastAsia="Times New Roman" w:hAnsi="Times New Roman" w:cs="Times New Roman"/>
      <w:sz w:val="24"/>
      <w:szCs w:val="24"/>
    </w:rPr>
  </w:style>
  <w:style w:type="character" w:customStyle="1" w:styleId="Mencinsinresolver3">
    <w:name w:val="Mención sin resolver3"/>
    <w:basedOn w:val="Fuentedeprrafopredeter"/>
    <w:uiPriority w:val="99"/>
    <w:semiHidden/>
    <w:rsid w:val="009304EC"/>
    <w:rPr>
      <w:rFonts w:cs="Times New Roman"/>
      <w:color w:val="605E5C"/>
      <w:shd w:val="clear" w:color="auto" w:fill="E1DFDD"/>
    </w:rPr>
  </w:style>
  <w:style w:type="character" w:customStyle="1" w:styleId="Mencinsinresolver4">
    <w:name w:val="Mención sin resolver4"/>
    <w:basedOn w:val="Fuentedeprrafopredeter"/>
    <w:uiPriority w:val="99"/>
    <w:semiHidden/>
    <w:rsid w:val="002B5923"/>
    <w:rPr>
      <w:rFonts w:cs="Times New Roman"/>
      <w:color w:val="605E5C"/>
      <w:shd w:val="clear" w:color="auto" w:fill="E1DFDD"/>
    </w:rPr>
  </w:style>
  <w:style w:type="paragraph" w:customStyle="1" w:styleId="Default">
    <w:name w:val="Default"/>
    <w:rsid w:val="00260080"/>
    <w:pPr>
      <w:autoSpaceDE w:val="0"/>
      <w:autoSpaceDN w:val="0"/>
      <w:adjustRightInd w:val="0"/>
    </w:pPr>
    <w:rPr>
      <w:rFonts w:ascii="Plantin Light" w:hAnsi="Plantin Light" w:cs="Plantin Light"/>
      <w:color w:val="000000"/>
      <w:sz w:val="24"/>
      <w:szCs w:val="24"/>
      <w:lang w:eastAsia="en-US"/>
    </w:rPr>
  </w:style>
  <w:style w:type="character" w:customStyle="1" w:styleId="Mencinsinresolver5">
    <w:name w:val="Mención sin resolver5"/>
    <w:basedOn w:val="Fuentedeprrafopredeter"/>
    <w:uiPriority w:val="99"/>
    <w:semiHidden/>
    <w:rsid w:val="000B42EE"/>
    <w:rPr>
      <w:rFonts w:cs="Times New Roman"/>
      <w:color w:val="605E5C"/>
      <w:shd w:val="clear" w:color="auto" w:fill="E1DFDD"/>
    </w:rPr>
  </w:style>
  <w:style w:type="paragraph" w:styleId="Prrafodelista">
    <w:name w:val="List Paragraph"/>
    <w:basedOn w:val="Normal"/>
    <w:uiPriority w:val="99"/>
    <w:qFormat/>
    <w:rsid w:val="00463A18"/>
    <w:pPr>
      <w:ind w:left="720"/>
      <w:contextualSpacing/>
    </w:pPr>
  </w:style>
  <w:style w:type="character" w:customStyle="1" w:styleId="Mencinsinresolver6">
    <w:name w:val="Mención sin resolver6"/>
    <w:basedOn w:val="Fuentedeprrafopredeter"/>
    <w:uiPriority w:val="99"/>
    <w:semiHidden/>
    <w:unhideWhenUsed/>
    <w:rsid w:val="00D4795B"/>
    <w:rPr>
      <w:color w:val="605E5C"/>
      <w:shd w:val="clear" w:color="auto" w:fill="E1DFDD"/>
    </w:rPr>
  </w:style>
  <w:style w:type="character" w:styleId="Hipervnculovisitado">
    <w:name w:val="FollowedHyperlink"/>
    <w:basedOn w:val="Fuentedeprrafopredeter"/>
    <w:uiPriority w:val="99"/>
    <w:semiHidden/>
    <w:unhideWhenUsed/>
    <w:rsid w:val="00DA0833"/>
    <w:rPr>
      <w:color w:val="800080" w:themeColor="followedHyperlink"/>
      <w:u w:val="single"/>
    </w:rPr>
  </w:style>
  <w:style w:type="character" w:customStyle="1" w:styleId="Mencinsinresolver7">
    <w:name w:val="Mención sin resolver7"/>
    <w:basedOn w:val="Fuentedeprrafopredeter"/>
    <w:uiPriority w:val="99"/>
    <w:semiHidden/>
    <w:unhideWhenUsed/>
    <w:rsid w:val="007F3D35"/>
    <w:rPr>
      <w:color w:val="605E5C"/>
      <w:shd w:val="clear" w:color="auto" w:fill="E1DFDD"/>
    </w:rPr>
  </w:style>
  <w:style w:type="paragraph" w:customStyle="1" w:styleId="Pa10">
    <w:name w:val="Pa10"/>
    <w:basedOn w:val="Default"/>
    <w:next w:val="Default"/>
    <w:uiPriority w:val="99"/>
    <w:rsid w:val="005A14CD"/>
    <w:pPr>
      <w:spacing w:line="211" w:lineRule="atLeast"/>
    </w:pPr>
    <w:rPr>
      <w:rFonts w:cs="Arial"/>
      <w:color w:val="auto"/>
      <w:lang w:eastAsia="es-ES"/>
    </w:rPr>
  </w:style>
  <w:style w:type="paragraph" w:customStyle="1" w:styleId="Pa12">
    <w:name w:val="Pa12"/>
    <w:basedOn w:val="Default"/>
    <w:next w:val="Default"/>
    <w:uiPriority w:val="99"/>
    <w:rsid w:val="00C772EE"/>
    <w:pPr>
      <w:spacing w:line="211" w:lineRule="atLeast"/>
    </w:pPr>
    <w:rPr>
      <w:rFonts w:cs="Arial"/>
      <w:color w:val="auto"/>
      <w:lang w:eastAsia="es-ES"/>
    </w:rPr>
  </w:style>
  <w:style w:type="paragraph" w:customStyle="1" w:styleId="Destacados">
    <w:name w:val="Destacados"/>
    <w:basedOn w:val="Ttulo1"/>
    <w:rsid w:val="008F59CA"/>
    <w:pPr>
      <w:keepLines w:val="0"/>
      <w:tabs>
        <w:tab w:val="left" w:pos="284"/>
      </w:tabs>
      <w:spacing w:before="0" w:after="420"/>
      <w:ind w:left="284" w:right="567" w:hanging="284"/>
    </w:pPr>
    <w:rPr>
      <w:rFonts w:ascii="Arial" w:eastAsia="Times New Roman" w:hAnsi="Arial" w:cs="Times New Roman"/>
      <w:b/>
      <w:bCs/>
      <w:color w:val="404040"/>
      <w:kern w:val="32"/>
      <w:sz w:val="26"/>
    </w:rPr>
  </w:style>
  <w:style w:type="character" w:customStyle="1" w:styleId="Ttulo1Car">
    <w:name w:val="Título 1 Car"/>
    <w:basedOn w:val="Fuentedeprrafopredeter"/>
    <w:link w:val="Ttulo1"/>
    <w:rsid w:val="008F59CA"/>
    <w:rPr>
      <w:rFonts w:asciiTheme="majorHAnsi" w:eastAsiaTheme="majorEastAsia" w:hAnsiTheme="majorHAnsi" w:cstheme="majorBidi"/>
      <w:color w:val="365F91" w:themeColor="accent1" w:themeShade="BF"/>
      <w:sz w:val="32"/>
      <w:szCs w:val="32"/>
    </w:rPr>
  </w:style>
  <w:style w:type="character" w:customStyle="1" w:styleId="A7">
    <w:name w:val="A7"/>
    <w:uiPriority w:val="99"/>
    <w:rsid w:val="00817506"/>
    <w:rPr>
      <w:rFonts w:cs="Frutiger 45 Light"/>
      <w:color w:val="000000"/>
      <w:sz w:val="18"/>
      <w:szCs w:val="18"/>
    </w:rPr>
  </w:style>
  <w:style w:type="character" w:customStyle="1" w:styleId="Ttulo3Car">
    <w:name w:val="Título 3 Car"/>
    <w:basedOn w:val="Fuentedeprrafopredeter"/>
    <w:link w:val="Ttulo3"/>
    <w:semiHidden/>
    <w:rsid w:val="00A423E2"/>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semiHidden/>
    <w:rsid w:val="00A423E2"/>
    <w:rPr>
      <w:rFonts w:asciiTheme="majorHAnsi" w:eastAsiaTheme="majorEastAsia" w:hAnsiTheme="majorHAnsi" w:cstheme="majorBidi"/>
      <w:i/>
      <w:iCs/>
      <w:color w:val="365F91" w:themeColor="accent1" w:themeShade="BF"/>
      <w:sz w:val="24"/>
      <w:szCs w:val="24"/>
    </w:rPr>
  </w:style>
  <w:style w:type="character" w:styleId="Textoennegrita">
    <w:name w:val="Strong"/>
    <w:basedOn w:val="Fuentedeprrafopredeter"/>
    <w:uiPriority w:val="22"/>
    <w:qFormat/>
    <w:locked/>
    <w:rsid w:val="00A423E2"/>
    <w:rPr>
      <w:b/>
      <w:bCs/>
    </w:rPr>
  </w:style>
  <w:style w:type="character" w:customStyle="1" w:styleId="UnresolvedMention">
    <w:name w:val="Unresolved Mention"/>
    <w:basedOn w:val="Fuentedeprrafopredeter"/>
    <w:uiPriority w:val="99"/>
    <w:semiHidden/>
    <w:unhideWhenUsed/>
    <w:rsid w:val="004E60AC"/>
    <w:rPr>
      <w:color w:val="605E5C"/>
      <w:shd w:val="clear" w:color="auto" w:fill="E1DFDD"/>
    </w:rPr>
  </w:style>
  <w:style w:type="character" w:styleId="nfasis">
    <w:name w:val="Emphasis"/>
    <w:basedOn w:val="Fuentedeprrafopredeter"/>
    <w:uiPriority w:val="20"/>
    <w:qFormat/>
    <w:locked/>
    <w:rsid w:val="00004529"/>
    <w:rPr>
      <w:i/>
      <w:iCs/>
    </w:rPr>
  </w:style>
  <w:style w:type="paragraph" w:styleId="NormalWeb">
    <w:name w:val="Normal (Web)"/>
    <w:basedOn w:val="Normal"/>
    <w:uiPriority w:val="99"/>
    <w:unhideWhenUsed/>
    <w:rsid w:val="003B75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0150083">
      <w:bodyDiv w:val="1"/>
      <w:marLeft w:val="0"/>
      <w:marRight w:val="0"/>
      <w:marTop w:val="0"/>
      <w:marBottom w:val="0"/>
      <w:divBdr>
        <w:top w:val="none" w:sz="0" w:space="0" w:color="auto"/>
        <w:left w:val="none" w:sz="0" w:space="0" w:color="auto"/>
        <w:bottom w:val="none" w:sz="0" w:space="0" w:color="auto"/>
        <w:right w:val="none" w:sz="0" w:space="0" w:color="auto"/>
      </w:divBdr>
    </w:div>
    <w:div w:id="1671372992">
      <w:bodyDiv w:val="1"/>
      <w:marLeft w:val="0"/>
      <w:marRight w:val="0"/>
      <w:marTop w:val="0"/>
      <w:marBottom w:val="0"/>
      <w:divBdr>
        <w:top w:val="none" w:sz="0" w:space="0" w:color="auto"/>
        <w:left w:val="none" w:sz="0" w:space="0" w:color="auto"/>
        <w:bottom w:val="none" w:sz="0" w:space="0" w:color="auto"/>
        <w:right w:val="none" w:sz="0" w:space="0" w:color="auto"/>
      </w:divBdr>
    </w:div>
    <w:div w:id="1721050400">
      <w:bodyDiv w:val="1"/>
      <w:marLeft w:val="0"/>
      <w:marRight w:val="0"/>
      <w:marTop w:val="0"/>
      <w:marBottom w:val="0"/>
      <w:divBdr>
        <w:top w:val="none" w:sz="0" w:space="0" w:color="auto"/>
        <w:left w:val="none" w:sz="0" w:space="0" w:color="auto"/>
        <w:bottom w:val="none" w:sz="0" w:space="0" w:color="auto"/>
        <w:right w:val="none" w:sz="0" w:space="0" w:color="auto"/>
      </w:divBdr>
    </w:div>
    <w:div w:id="177184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cion@csic.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sic.es/es/cultura-cientifica/libros-de-divulgacion/coleccion-que-sabemos-de/aceleradores-de-particulas" TargetMode="External"/><Relationship Id="rId4" Type="http://schemas.openxmlformats.org/officeDocument/2006/relationships/settings" Target="settings.xml"/><Relationship Id="rId9" Type="http://schemas.openxmlformats.org/officeDocument/2006/relationships/hyperlink" Target="https://www.csic.es/es/cultura-cientifica/libros-de-divulgacion/coleccion-que-sabemos-de/aceleradores-de-particula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csic.es" TargetMode="External"/><Relationship Id="rId2" Type="http://schemas.openxmlformats.org/officeDocument/2006/relationships/hyperlink" Target="mailto:g.prensa@csic.es"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742B6-457D-410D-A4C7-9229DFAB5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1855</Words>
  <Characters>10204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Madrid, 17 de mayo de 2024</vt:lpstr>
    </vt:vector>
  </TitlesOfParts>
  <Company>HP</Company>
  <LinksUpToDate>false</LinksUpToDate>
  <CharactersWithSpaces>12035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17 de mayo de 2024</dc:title>
  <dc:subject/>
  <dc:creator>Carmen Guerrero Martinez</dc:creator>
  <cp:keywords/>
  <dc:description/>
  <cp:lastModifiedBy>Mariella Rosso</cp:lastModifiedBy>
  <cp:revision>3</cp:revision>
  <cp:lastPrinted>2024-07-18T09:15:00Z</cp:lastPrinted>
  <dcterms:created xsi:type="dcterms:W3CDTF">2025-11-13T13:47:00Z</dcterms:created>
  <dcterms:modified xsi:type="dcterms:W3CDTF">2025-11-14T14:17:00Z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7dbd84b4e3c63ed7a0290d66347947c528b01697b530780dbc1b079325c60398</vt:lpwstr>
  </property>
</Properties>
</file>